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4464050</wp:posOffset>
            </wp:positionH>
            <wp:positionV relativeFrom="paragraph">
              <wp:posOffset>-422275</wp:posOffset>
            </wp:positionV>
            <wp:extent cx="857885" cy="299720"/>
            <wp:effectExtent l="0" t="0" r="0" b="508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692" cy="2998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英国</w:t>
      </w:r>
      <w:r>
        <w:rPr>
          <w:rFonts w:asciiTheme="minorHAnsi" w:hAnsiTheme="minorHAnsi" w:eastAsiaTheme="majorEastAsia" w:cstheme="minorHAnsi"/>
          <w:b/>
          <w:kern w:val="0"/>
          <w:sz w:val="32"/>
          <w:szCs w:val="21"/>
        </w:rPr>
        <w:t xml:space="preserve">伦敦政治经济学院 </w:t>
      </w: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 w:val="32"/>
          <w:szCs w:val="21"/>
        </w:rPr>
        <w:t>暑期</w:t>
      </w: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专业学习</w:t>
      </w:r>
      <w:r>
        <w:rPr>
          <w:rFonts w:asciiTheme="minorHAnsi" w:hAnsiTheme="minorHAnsi" w:eastAsiaTheme="majorEastAsia" w:cstheme="minorHAnsi"/>
          <w:b/>
          <w:kern w:val="0"/>
          <w:sz w:val="32"/>
          <w:szCs w:val="21"/>
        </w:rPr>
        <w:t>项目</w:t>
      </w: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kern w:val="0"/>
          <w:szCs w:val="21"/>
        </w:rPr>
      </w:pP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kern w:val="0"/>
          <w:szCs w:val="21"/>
        </w:rPr>
      </w:pPr>
    </w:p>
    <w:p>
      <w:pPr>
        <w:pStyle w:val="20"/>
        <w:widowControl/>
        <w:numPr>
          <w:ilvl w:val="0"/>
          <w:numId w:val="1"/>
        </w:numPr>
        <w:spacing w:line="360" w:lineRule="auto"/>
        <w:ind w:firstLineChars="0"/>
        <w:rPr>
          <w:rFonts w:cs="Calibri" w:asciiTheme="minorHAnsi" w:hAnsiTheme="minorHAnsi"/>
          <w:b/>
          <w:kern w:val="0"/>
          <w:szCs w:val="21"/>
        </w:rPr>
      </w:pPr>
      <w:r>
        <w:rPr>
          <w:rFonts w:hint="eastAsia" w:cs="Calibri" w:asciiTheme="minorHAnsi" w:hAnsiTheme="minorHAnsi"/>
          <w:b/>
          <w:kern w:val="0"/>
          <w:szCs w:val="21"/>
        </w:rPr>
        <w:t>项目综述</w:t>
      </w:r>
    </w:p>
    <w:p>
      <w:pPr>
        <w:widowControl/>
        <w:spacing w:line="360" w:lineRule="auto"/>
        <w:ind w:firstLine="420"/>
        <w:jc w:val="left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伦敦政治经济学院（</w:t>
      </w:r>
      <w:r>
        <w:rPr>
          <w:rFonts w:hint="eastAsia" w:cs="Calibri" w:asciiTheme="minorHAnsi" w:hAnsiTheme="minorHAnsi"/>
          <w:kern w:val="0"/>
          <w:szCs w:val="21"/>
        </w:rPr>
        <w:t>London School of Economics and Political Science, 简称LSE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）暑期专业学习课程由L</w:t>
      </w:r>
      <w:r>
        <w:rPr>
          <w:rFonts w:asciiTheme="minorHAnsi" w:hAnsiTheme="minorHAnsi" w:eastAsiaTheme="majorEastAsia" w:cstheme="minorHAnsi"/>
          <w:kern w:val="0"/>
          <w:szCs w:val="21"/>
        </w:rPr>
        <w:t>SE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暑校（L</w:t>
      </w:r>
      <w:r>
        <w:rPr>
          <w:rFonts w:asciiTheme="minorHAnsi" w:hAnsiTheme="minorHAnsi" w:eastAsiaTheme="majorEastAsia" w:cstheme="minorHAnsi"/>
          <w:kern w:val="0"/>
          <w:szCs w:val="21"/>
        </w:rPr>
        <w:t>SE Summer School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）开设，旨在为来自世界各地的访学生提供为期三周的专业课程学习，包括丰富多元的学术主题，以满足不同领域学生的专业学习需求</w:t>
      </w:r>
      <w:r>
        <w:rPr>
          <w:rFonts w:asciiTheme="minorHAnsi" w:hAnsiTheme="minorHAnsi" w:eastAsiaTheme="majorEastAsia" w:cstheme="minorHAnsi"/>
          <w:kern w:val="0"/>
          <w:szCs w:val="21"/>
        </w:rPr>
        <w:t>。</w:t>
      </w:r>
      <w:r>
        <w:rPr>
          <w:rFonts w:hint="eastAsia" w:asciiTheme="minorHAnsi" w:hAnsiTheme="minorHAnsi" w:eastAsiaTheme="majorEastAsia" w:cstheme="minorHAnsi"/>
          <w:szCs w:val="21"/>
        </w:rPr>
        <w:t>LSE的暑校创办至今已有30多年历史，是在欧洲历史最悠久且在同类学校中规模最大的暑期学校，目前开设近100门各类课程。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全美国际教育协会作为L</w:t>
      </w:r>
      <w:r>
        <w:rPr>
          <w:rFonts w:asciiTheme="minorHAnsi" w:hAnsiTheme="minorHAnsi" w:eastAsiaTheme="majorEastAsia" w:cstheme="minorHAnsi"/>
          <w:kern w:val="0"/>
          <w:szCs w:val="21"/>
        </w:rPr>
        <w:t>SE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在中国的正式授权机构，负责选拔优秀中国大学生，于202</w:t>
      </w:r>
      <w:r>
        <w:rPr>
          <w:rFonts w:asciiTheme="minorHAnsi" w:hAnsiTheme="minorHAnsi" w:eastAsiaTheme="majorEastAsia" w:cstheme="minorHAnsi"/>
          <w:kern w:val="0"/>
          <w:szCs w:val="21"/>
        </w:rPr>
        <w:t>3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年暑期前往L</w:t>
      </w:r>
      <w:r>
        <w:rPr>
          <w:rFonts w:asciiTheme="minorHAnsi" w:hAnsiTheme="minorHAnsi" w:eastAsiaTheme="majorEastAsia" w:cstheme="minorHAnsi"/>
          <w:kern w:val="0"/>
          <w:szCs w:val="21"/>
        </w:rPr>
        <w:t>SE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参加为期三周的暑期专业学习项目。学生将与其他国际学生一起参与专业课程的学习</w:t>
      </w:r>
      <w:r>
        <w:rPr>
          <w:rFonts w:hint="eastAsia" w:asciiTheme="minorHAnsi" w:hAnsiTheme="minorHAnsi" w:eastAsiaTheme="majorEastAsia" w:cstheme="minorHAnsi"/>
          <w:szCs w:val="21"/>
        </w:rPr>
        <w:t>，充分体验L</w:t>
      </w:r>
      <w:r>
        <w:rPr>
          <w:rFonts w:asciiTheme="minorHAnsi" w:hAnsiTheme="minorHAnsi" w:eastAsiaTheme="majorEastAsia" w:cstheme="minorHAnsi"/>
          <w:szCs w:val="21"/>
        </w:rPr>
        <w:t>SE</w:t>
      </w:r>
      <w:r>
        <w:rPr>
          <w:rFonts w:hint="eastAsia" w:asciiTheme="minorHAnsi" w:hAnsiTheme="minorHAnsi" w:eastAsiaTheme="majorEastAsia" w:cstheme="minorHAnsi"/>
          <w:szCs w:val="21"/>
        </w:rPr>
        <w:t>严谨的学术氛围，同时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有效提升自身的英语水平以及专业素养。</w:t>
      </w:r>
    </w:p>
    <w:p>
      <w:pPr>
        <w:widowControl/>
        <w:spacing w:line="360" w:lineRule="auto"/>
        <w:ind w:firstLine="420"/>
        <w:jc w:val="left"/>
        <w:rPr>
          <w:rFonts w:cs="Calibri" w:asciiTheme="minorHAnsi" w:hAnsiTheme="minorHAnsi"/>
          <w:szCs w:val="21"/>
        </w:rPr>
      </w:pP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 xml:space="preserve">二、 </w:t>
      </w:r>
      <w:r>
        <w:rPr>
          <w:rFonts w:hint="eastAsia" w:cs="Calibri" w:asciiTheme="minorHAnsi" w:hAnsiTheme="minorHAnsi"/>
          <w:b/>
          <w:szCs w:val="21"/>
        </w:rPr>
        <w:t>伦敦政治经济学院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简介</w:t>
      </w:r>
    </w:p>
    <w:p>
      <w:pPr>
        <w:pStyle w:val="20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创建于</w:t>
      </w:r>
      <w:r>
        <w:rPr>
          <w:rFonts w:hint="eastAsia" w:cs="Calibri" w:asciiTheme="minorHAnsi" w:hAnsiTheme="minorHAnsi"/>
          <w:szCs w:val="21"/>
        </w:rPr>
        <w:t>1895年，</w:t>
      </w:r>
      <w:r>
        <w:rPr>
          <w:rFonts w:cs="Calibri" w:asciiTheme="minorHAnsi" w:hAnsiTheme="minorHAnsi"/>
          <w:szCs w:val="21"/>
        </w:rPr>
        <w:t>与</w:t>
      </w:r>
      <w:r>
        <w:rPr>
          <w:rFonts w:cs="Calibri" w:asciiTheme="minorHAnsi" w:hAnsiTheme="minorHAnsi"/>
        </w:rPr>
        <w:t>牛津大学</w:t>
      </w:r>
      <w:r>
        <w:rPr>
          <w:rFonts w:cs="Calibri" w:asciiTheme="minorHAnsi" w:hAnsiTheme="minorHAnsi"/>
          <w:szCs w:val="21"/>
        </w:rPr>
        <w:t>、</w:t>
      </w:r>
      <w:r>
        <w:rPr>
          <w:rFonts w:cs="Calibri" w:asciiTheme="minorHAnsi" w:hAnsiTheme="minorHAnsi"/>
        </w:rPr>
        <w:t>剑桥大学</w:t>
      </w:r>
      <w:r>
        <w:rPr>
          <w:rFonts w:cs="Calibri" w:asciiTheme="minorHAnsi" w:hAnsiTheme="minorHAnsi"/>
          <w:szCs w:val="21"/>
        </w:rPr>
        <w:t>、</w:t>
      </w:r>
      <w:r>
        <w:rPr>
          <w:rFonts w:cs="Calibri" w:asciiTheme="minorHAnsi" w:hAnsiTheme="minorHAnsi"/>
        </w:rPr>
        <w:t>伦敦大学学院</w:t>
      </w:r>
      <w:r>
        <w:rPr>
          <w:rFonts w:cs="Calibri" w:asciiTheme="minorHAnsi" w:hAnsiTheme="minorHAnsi"/>
          <w:szCs w:val="21"/>
        </w:rPr>
        <w:t>、</w:t>
      </w:r>
      <w:r>
        <w:rPr>
          <w:rFonts w:cs="Calibri" w:asciiTheme="minorHAnsi" w:hAnsiTheme="minorHAnsi"/>
        </w:rPr>
        <w:t>帝国理工学院</w:t>
      </w:r>
      <w:r>
        <w:rPr>
          <w:rFonts w:cs="Calibri" w:asciiTheme="minorHAnsi" w:hAnsiTheme="minorHAnsi"/>
          <w:szCs w:val="21"/>
        </w:rPr>
        <w:t>并称“</w:t>
      </w:r>
      <w:r>
        <w:rPr>
          <w:rFonts w:cs="Calibri" w:asciiTheme="minorHAnsi" w:hAnsiTheme="minorHAnsi"/>
        </w:rPr>
        <w:t>G5</w:t>
      </w:r>
      <w:r>
        <w:rPr>
          <w:rFonts w:cs="Calibri" w:asciiTheme="minorHAnsi" w:hAnsiTheme="minorHAnsi"/>
          <w:szCs w:val="21"/>
        </w:rPr>
        <w:t>超级精英大学”，也是英国</w:t>
      </w:r>
      <w:r>
        <w:rPr>
          <w:rFonts w:cs="Calibri" w:asciiTheme="minorHAnsi" w:hAnsiTheme="minorHAnsi"/>
        </w:rPr>
        <w:t>金三角名校</w:t>
      </w:r>
      <w:r>
        <w:rPr>
          <w:rFonts w:cs="Calibri" w:asciiTheme="minorHAnsi" w:hAnsiTheme="minorHAnsi"/>
          <w:szCs w:val="21"/>
        </w:rPr>
        <w:t>和</w:t>
      </w:r>
      <w:r>
        <w:rPr>
          <w:rFonts w:cs="Calibri" w:asciiTheme="minorHAnsi" w:hAnsiTheme="minorHAnsi"/>
        </w:rPr>
        <w:t>罗素大学集团</w:t>
      </w:r>
      <w:r>
        <w:rPr>
          <w:rFonts w:cs="Calibri" w:asciiTheme="minorHAnsi" w:hAnsiTheme="minorHAnsi"/>
          <w:szCs w:val="21"/>
        </w:rPr>
        <w:t>成员</w:t>
      </w:r>
      <w:r>
        <w:rPr>
          <w:rFonts w:hint="eastAsia" w:cs="Calibri" w:asciiTheme="minorHAnsi" w:hAnsiTheme="minorHAnsi"/>
          <w:szCs w:val="21"/>
        </w:rPr>
        <w:t>；</w:t>
      </w:r>
    </w:p>
    <w:p>
      <w:pPr>
        <w:pStyle w:val="20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202</w:t>
      </w:r>
      <w:r>
        <w:rPr>
          <w:rFonts w:cs="Calibri" w:asciiTheme="minorHAnsi" w:hAnsiTheme="minorHAnsi"/>
          <w:szCs w:val="21"/>
        </w:rPr>
        <w:t>3</w:t>
      </w:r>
      <w:r>
        <w:rPr>
          <w:rFonts w:hint="eastAsia" w:cs="Calibri" w:asciiTheme="minorHAnsi" w:hAnsiTheme="minorHAnsi"/>
          <w:szCs w:val="21"/>
        </w:rPr>
        <w:t>年Times世界大学综合排名第</w:t>
      </w:r>
      <w:r>
        <w:rPr>
          <w:rFonts w:cs="Calibri" w:asciiTheme="minorHAnsi" w:hAnsiTheme="minorHAnsi"/>
          <w:szCs w:val="21"/>
        </w:rPr>
        <w:t>3</w:t>
      </w:r>
      <w:r>
        <w:rPr>
          <w:rFonts w:hint="eastAsia" w:cs="Calibri" w:asciiTheme="minorHAnsi" w:hAnsiTheme="minorHAnsi"/>
          <w:szCs w:val="21"/>
        </w:rPr>
        <w:t>7位； 202</w:t>
      </w:r>
      <w:r>
        <w:rPr>
          <w:rFonts w:cs="Calibri" w:asciiTheme="minorHAnsi" w:hAnsiTheme="minorHAnsi"/>
          <w:szCs w:val="21"/>
        </w:rPr>
        <w:t>3</w:t>
      </w:r>
      <w:r>
        <w:rPr>
          <w:rFonts w:hint="eastAsia" w:cs="Calibri" w:asciiTheme="minorHAnsi" w:hAnsiTheme="minorHAnsi"/>
          <w:szCs w:val="21"/>
        </w:rPr>
        <w:t>年QS世界大学综合排名第</w:t>
      </w:r>
      <w:r>
        <w:rPr>
          <w:rFonts w:cs="Calibri" w:asciiTheme="minorHAnsi" w:hAnsiTheme="minorHAnsi"/>
          <w:szCs w:val="21"/>
        </w:rPr>
        <w:t>56</w:t>
      </w:r>
      <w:r>
        <w:rPr>
          <w:rFonts w:hint="eastAsia" w:cs="Calibri" w:asciiTheme="minorHAnsi" w:hAnsiTheme="minorHAnsi"/>
          <w:szCs w:val="21"/>
        </w:rPr>
        <w:t>位，社会科学领域享誉世界，常年位</w:t>
      </w:r>
      <w:r>
        <w:rPr>
          <w:rFonts w:cs="Calibri" w:asciiTheme="minorHAnsi" w:hAnsiTheme="minorHAnsi"/>
          <w:szCs w:val="21"/>
        </w:rPr>
        <w:t>居欧洲</w:t>
      </w:r>
      <w:r>
        <w:rPr>
          <w:rFonts w:hint="eastAsia" w:cs="Calibri" w:asciiTheme="minorHAnsi" w:hAnsiTheme="minorHAnsi"/>
          <w:szCs w:val="21"/>
        </w:rPr>
        <w:t>前列；</w:t>
      </w:r>
    </w:p>
    <w:p>
      <w:pPr>
        <w:pStyle w:val="20"/>
        <w:numPr>
          <w:ilvl w:val="0"/>
          <w:numId w:val="2"/>
        </w:numPr>
        <w:spacing w:line="360" w:lineRule="auto"/>
        <w:ind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asciiTheme="minorHAnsi" w:hAnsiTheme="minorHAnsi" w:eastAsiaTheme="majorEastAsia" w:cstheme="minorHAnsi"/>
          <w:szCs w:val="21"/>
        </w:rPr>
        <w:t>下设25个学术科系与</w:t>
      </w:r>
      <w:r>
        <w:rPr>
          <w:rFonts w:hint="eastAsia" w:asciiTheme="minorHAnsi" w:hAnsiTheme="minorHAnsi" w:eastAsiaTheme="majorEastAsia" w:cstheme="minorHAnsi"/>
          <w:szCs w:val="21"/>
        </w:rPr>
        <w:t>23个研究中心，</w:t>
      </w:r>
      <w:r>
        <w:rPr>
          <w:rFonts w:cs="Calibri" w:asciiTheme="minorHAnsi" w:hAnsiTheme="minorHAnsi"/>
          <w:szCs w:val="21"/>
        </w:rPr>
        <w:t>优势学科包括社会科学</w:t>
      </w:r>
      <w:r>
        <w:rPr>
          <w:rFonts w:hint="eastAsia" w:cs="Calibri" w:asciiTheme="minorHAnsi" w:hAnsiTheme="minorHAnsi"/>
          <w:szCs w:val="21"/>
        </w:rPr>
        <w:t>、</w:t>
      </w:r>
      <w:r>
        <w:rPr>
          <w:rFonts w:cs="Calibri" w:asciiTheme="minorHAnsi" w:hAnsiTheme="minorHAnsi"/>
          <w:szCs w:val="21"/>
        </w:rPr>
        <w:t>管理学</w:t>
      </w:r>
      <w:r>
        <w:rPr>
          <w:rFonts w:hint="eastAsia" w:cs="Calibri" w:asciiTheme="minorHAnsi" w:hAnsiTheme="minorHAnsi"/>
          <w:szCs w:val="21"/>
        </w:rPr>
        <w:t>、金融、商科、</w:t>
      </w:r>
      <w:r>
        <w:rPr>
          <w:rFonts w:cs="Calibri" w:asciiTheme="minorHAnsi" w:hAnsiTheme="minorHAnsi"/>
          <w:szCs w:val="21"/>
        </w:rPr>
        <w:t>经济学等</w:t>
      </w:r>
      <w:r>
        <w:rPr>
          <w:rFonts w:hint="eastAsia" w:cs="Calibri" w:asciiTheme="minorHAnsi" w:hAnsiTheme="minorHAnsi"/>
          <w:szCs w:val="21"/>
        </w:rPr>
        <w:t>，</w:t>
      </w:r>
      <w:r>
        <w:rPr>
          <w:rFonts w:cs="Calibri" w:asciiTheme="minorHAnsi" w:hAnsiTheme="minorHAnsi"/>
          <w:szCs w:val="21"/>
        </w:rPr>
        <w:t>校友及教员之中包括18名诺贝尔奖得奖者</w:t>
      </w:r>
      <w:r>
        <w:rPr>
          <w:rFonts w:hint="eastAsia" w:cs="Calibri" w:asciiTheme="minorHAnsi" w:hAnsiTheme="minorHAnsi"/>
          <w:szCs w:val="21"/>
        </w:rPr>
        <w:t>与</w:t>
      </w:r>
      <w:r>
        <w:rPr>
          <w:rFonts w:cs="Calibri" w:asciiTheme="minorHAnsi" w:hAnsiTheme="minorHAnsi"/>
          <w:szCs w:val="21"/>
        </w:rPr>
        <w:t>3</w:t>
      </w:r>
      <w:r>
        <w:rPr>
          <w:rFonts w:hint="eastAsia" w:cs="Calibri" w:asciiTheme="minorHAnsi" w:hAnsiTheme="minorHAnsi"/>
          <w:szCs w:val="21"/>
        </w:rPr>
        <w:t>7</w:t>
      </w:r>
      <w:r>
        <w:rPr>
          <w:rFonts w:cs="Calibri" w:asciiTheme="minorHAnsi" w:hAnsiTheme="minorHAnsi"/>
          <w:szCs w:val="21"/>
        </w:rPr>
        <w:t>名政府或国家元首</w:t>
      </w:r>
      <w:r>
        <w:rPr>
          <w:rFonts w:hint="eastAsia" w:cs="Calibri" w:asciiTheme="minorHAnsi" w:hAnsiTheme="minorHAnsi"/>
          <w:szCs w:val="21"/>
        </w:rPr>
        <w:t>；</w:t>
      </w:r>
    </w:p>
    <w:p>
      <w:pPr>
        <w:pStyle w:val="20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学校</w:t>
      </w:r>
      <w:r>
        <w:rPr>
          <w:rFonts w:asciiTheme="minorHAnsi" w:hAnsiTheme="minorHAnsi" w:cstheme="minorHAnsi"/>
          <w:kern w:val="0"/>
          <w:szCs w:val="21"/>
        </w:rPr>
        <w:t>位</w:t>
      </w:r>
      <w:r>
        <w:rPr>
          <w:rFonts w:cs="Calibri" w:asciiTheme="minorHAnsi" w:hAnsiTheme="minorHAnsi"/>
          <w:szCs w:val="21"/>
        </w:rPr>
        <w:t>于英国首都伦敦市中心，地理位置优越</w:t>
      </w:r>
      <w:r>
        <w:rPr>
          <w:rFonts w:hint="eastAsia" w:cs="Calibri" w:asciiTheme="minorHAnsi" w:hAnsiTheme="minorHAnsi"/>
          <w:szCs w:val="21"/>
        </w:rPr>
        <w:t>，</w:t>
      </w:r>
      <w:r>
        <w:rPr>
          <w:rFonts w:cs="Calibri" w:asciiTheme="minorHAnsi" w:hAnsiTheme="minorHAnsi"/>
          <w:szCs w:val="21"/>
        </w:rPr>
        <w:t>比邻</w:t>
      </w:r>
      <w:r>
        <w:rPr>
          <w:rFonts w:hint="eastAsia" w:cs="Calibri" w:asciiTheme="minorHAnsi" w:hAnsiTheme="minorHAnsi"/>
          <w:szCs w:val="21"/>
        </w:rPr>
        <w:t>国会</w:t>
      </w:r>
      <w:r>
        <w:rPr>
          <w:rFonts w:cs="Calibri" w:asciiTheme="minorHAnsi" w:hAnsiTheme="minorHAnsi"/>
          <w:szCs w:val="21"/>
        </w:rPr>
        <w:t>大厦</w:t>
      </w:r>
      <w:r>
        <w:rPr>
          <w:rFonts w:hint="eastAsia" w:cs="Calibri" w:asciiTheme="minorHAnsi" w:hAnsiTheme="minorHAnsi"/>
          <w:szCs w:val="21"/>
        </w:rPr>
        <w:t>、</w:t>
      </w:r>
      <w:r>
        <w:rPr>
          <w:rFonts w:cs="Calibri" w:asciiTheme="minorHAnsi" w:hAnsiTheme="minorHAnsi"/>
          <w:szCs w:val="21"/>
        </w:rPr>
        <w:t>大英博物馆</w:t>
      </w:r>
      <w:r>
        <w:rPr>
          <w:rFonts w:hint="eastAsia" w:cs="Calibri" w:asciiTheme="minorHAnsi" w:hAnsiTheme="minorHAnsi"/>
          <w:szCs w:val="21"/>
        </w:rPr>
        <w:t>、</w:t>
      </w:r>
      <w:r>
        <w:rPr>
          <w:rFonts w:cs="Calibri" w:asciiTheme="minorHAnsi" w:hAnsiTheme="minorHAnsi"/>
          <w:szCs w:val="21"/>
        </w:rPr>
        <w:t>特拉法加广场等地标建筑。</w:t>
      </w:r>
    </w:p>
    <w:p>
      <w:pPr>
        <w:spacing w:line="360" w:lineRule="auto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szCs w:val="21"/>
        </w:rPr>
      </w:pPr>
      <w:r>
        <w:rPr>
          <w:rFonts w:hint="eastAsia" w:asciiTheme="minorHAnsi" w:hAnsiTheme="minorHAnsi" w:eastAsiaTheme="majorEastAsia" w:cstheme="minorHAnsi"/>
          <w:b/>
          <w:szCs w:val="21"/>
        </w:rPr>
        <w:t>三、</w:t>
      </w:r>
      <w:r>
        <w:rPr>
          <w:rFonts w:asciiTheme="minorHAnsi" w:hAnsiTheme="minorHAnsi" w:eastAsiaTheme="majorEastAsia" w:cstheme="minorHAnsi"/>
          <w:b/>
          <w:szCs w:val="21"/>
        </w:rPr>
        <w:t>访学</w:t>
      </w:r>
      <w:r>
        <w:rPr>
          <w:rFonts w:hint="eastAsia" w:asciiTheme="minorHAnsi" w:hAnsiTheme="minorHAnsi" w:eastAsiaTheme="majorEastAsia" w:cstheme="minorHAnsi"/>
          <w:b/>
          <w:szCs w:val="21"/>
        </w:rPr>
        <w:t>项目介绍</w:t>
      </w:r>
    </w:p>
    <w:p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课程日期</w:t>
      </w:r>
      <w:r>
        <w:rPr>
          <w:rFonts w:cs="Calibri" w:asciiTheme="minorHAnsi" w:hAnsiTheme="minorHAnsi"/>
          <w:szCs w:val="21"/>
        </w:rPr>
        <w:t>】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第一期：</w:t>
      </w:r>
      <w:r>
        <w:rPr>
          <w:rFonts w:asciiTheme="minorHAnsi" w:hAnsiTheme="minorHAnsi" w:eastAsiaTheme="majorEastAsia" w:cstheme="minorHAnsi"/>
          <w:szCs w:val="21"/>
        </w:rPr>
        <w:t>20</w:t>
      </w:r>
      <w:r>
        <w:rPr>
          <w:rFonts w:hint="eastAsia" w:asciiTheme="minorHAnsi" w:hAnsiTheme="minorHAnsi" w:eastAsiaTheme="majorEastAsia" w:cstheme="minorHAnsi"/>
          <w:szCs w:val="21"/>
        </w:rPr>
        <w:t>2</w:t>
      </w:r>
      <w:r>
        <w:rPr>
          <w:rFonts w:asciiTheme="minorHAnsi" w:hAnsiTheme="minorHAnsi" w:eastAsiaTheme="majorEastAsia" w:cstheme="minorHAnsi"/>
          <w:szCs w:val="21"/>
        </w:rPr>
        <w:t>3年</w:t>
      </w:r>
      <w:r>
        <w:rPr>
          <w:rFonts w:hint="eastAsia" w:asciiTheme="minorHAnsi" w:hAnsiTheme="minorHAnsi" w:eastAsiaTheme="majorEastAsia" w:cstheme="minorHAnsi"/>
          <w:szCs w:val="21"/>
        </w:rPr>
        <w:t>6</w:t>
      </w:r>
      <w:r>
        <w:rPr>
          <w:rFonts w:asciiTheme="minorHAnsi" w:hAnsiTheme="minorHAnsi" w:eastAsiaTheme="majorEastAsia" w:cstheme="minorHAnsi"/>
          <w:szCs w:val="21"/>
        </w:rPr>
        <w:t>月19日 –</w:t>
      </w:r>
      <w:r>
        <w:rPr>
          <w:rFonts w:hint="eastAsia" w:asciiTheme="minorHAnsi" w:hAnsiTheme="minorHAnsi" w:eastAsiaTheme="majorEastAsia" w:cstheme="minorHAnsi"/>
          <w:szCs w:val="21"/>
        </w:rPr>
        <w:t xml:space="preserve"> 7</w:t>
      </w:r>
      <w:r>
        <w:rPr>
          <w:rFonts w:asciiTheme="minorHAnsi" w:hAnsiTheme="minorHAnsi" w:eastAsiaTheme="majorEastAsia" w:cstheme="minorHAnsi"/>
          <w:szCs w:val="21"/>
        </w:rPr>
        <w:t>月7日（</w:t>
      </w:r>
      <w:r>
        <w:rPr>
          <w:rFonts w:hint="eastAsia" w:asciiTheme="minorHAnsi" w:hAnsiTheme="minorHAnsi" w:eastAsiaTheme="majorEastAsia" w:cstheme="minorHAnsi"/>
          <w:szCs w:val="21"/>
        </w:rPr>
        <w:t>3</w:t>
      </w:r>
      <w:r>
        <w:rPr>
          <w:rFonts w:asciiTheme="minorHAnsi" w:hAnsiTheme="minorHAnsi" w:eastAsiaTheme="majorEastAsia" w:cstheme="minorHAnsi"/>
          <w:szCs w:val="21"/>
        </w:rPr>
        <w:t>周）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第二期：202</w:t>
      </w:r>
      <w:r>
        <w:rPr>
          <w:rFonts w:asciiTheme="minorHAnsi" w:hAnsiTheme="minorHAnsi" w:eastAsiaTheme="majorEastAsia" w:cstheme="minorHAnsi"/>
          <w:szCs w:val="21"/>
        </w:rPr>
        <w:t>3</w:t>
      </w:r>
      <w:r>
        <w:rPr>
          <w:rFonts w:hint="eastAsia" w:asciiTheme="minorHAnsi" w:hAnsiTheme="minorHAnsi" w:eastAsiaTheme="majorEastAsia" w:cstheme="minorHAnsi"/>
          <w:szCs w:val="21"/>
        </w:rPr>
        <w:t>年7月1</w:t>
      </w:r>
      <w:r>
        <w:rPr>
          <w:rFonts w:asciiTheme="minorHAnsi" w:hAnsiTheme="minorHAnsi" w:eastAsiaTheme="majorEastAsia" w:cstheme="minorHAnsi"/>
          <w:szCs w:val="21"/>
        </w:rPr>
        <w:t>0</w:t>
      </w:r>
      <w:r>
        <w:rPr>
          <w:rFonts w:hint="eastAsia" w:asciiTheme="minorHAnsi" w:hAnsiTheme="minorHAnsi" w:eastAsiaTheme="majorEastAsia" w:cstheme="minorHAnsi"/>
          <w:szCs w:val="21"/>
        </w:rPr>
        <w:t xml:space="preserve">日 </w:t>
      </w:r>
      <w:r>
        <w:rPr>
          <w:rFonts w:asciiTheme="minorHAnsi" w:hAnsiTheme="minorHAnsi" w:eastAsiaTheme="majorEastAsia" w:cstheme="minorHAnsi"/>
          <w:szCs w:val="21"/>
        </w:rPr>
        <w:t>–</w:t>
      </w:r>
      <w:r>
        <w:rPr>
          <w:rFonts w:hint="eastAsia" w:asciiTheme="minorHAnsi" w:hAnsiTheme="minorHAnsi" w:eastAsiaTheme="majorEastAsia" w:cstheme="minorHAnsi"/>
          <w:szCs w:val="21"/>
        </w:rPr>
        <w:t xml:space="preserve"> 7月</w:t>
      </w:r>
      <w:r>
        <w:rPr>
          <w:rFonts w:asciiTheme="minorHAnsi" w:hAnsiTheme="minorHAnsi" w:eastAsiaTheme="majorEastAsia" w:cstheme="minorHAnsi"/>
          <w:szCs w:val="21"/>
        </w:rPr>
        <w:t>28</w:t>
      </w:r>
      <w:r>
        <w:rPr>
          <w:rFonts w:hint="eastAsia" w:asciiTheme="minorHAnsi" w:hAnsiTheme="minorHAnsi" w:eastAsiaTheme="majorEastAsia" w:cstheme="minorHAnsi"/>
          <w:szCs w:val="21"/>
        </w:rPr>
        <w:t>日（3周）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b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第三期：202</w:t>
      </w:r>
      <w:r>
        <w:rPr>
          <w:rFonts w:asciiTheme="minorHAnsi" w:hAnsiTheme="minorHAnsi" w:eastAsiaTheme="majorEastAsia" w:cstheme="minorHAnsi"/>
          <w:szCs w:val="21"/>
        </w:rPr>
        <w:t>3</w:t>
      </w:r>
      <w:r>
        <w:rPr>
          <w:rFonts w:hint="eastAsia" w:asciiTheme="minorHAnsi" w:hAnsiTheme="minorHAnsi" w:eastAsiaTheme="majorEastAsia" w:cstheme="minorHAnsi"/>
          <w:szCs w:val="21"/>
        </w:rPr>
        <w:t>年</w:t>
      </w:r>
      <w:r>
        <w:rPr>
          <w:rFonts w:asciiTheme="minorHAnsi" w:hAnsiTheme="minorHAnsi" w:eastAsiaTheme="majorEastAsia" w:cstheme="minorHAnsi"/>
          <w:szCs w:val="21"/>
        </w:rPr>
        <w:t>7</w:t>
      </w:r>
      <w:r>
        <w:rPr>
          <w:rFonts w:hint="eastAsia" w:asciiTheme="minorHAnsi" w:hAnsiTheme="minorHAnsi" w:eastAsiaTheme="majorEastAsia" w:cstheme="minorHAnsi"/>
          <w:szCs w:val="21"/>
        </w:rPr>
        <w:t>月3</w:t>
      </w:r>
      <w:r>
        <w:rPr>
          <w:rFonts w:asciiTheme="minorHAnsi" w:hAnsiTheme="minorHAnsi" w:eastAsiaTheme="majorEastAsia" w:cstheme="minorHAnsi"/>
          <w:szCs w:val="21"/>
        </w:rPr>
        <w:t>1</w:t>
      </w:r>
      <w:r>
        <w:rPr>
          <w:rFonts w:hint="eastAsia" w:asciiTheme="minorHAnsi" w:hAnsiTheme="minorHAnsi" w:eastAsiaTheme="majorEastAsia" w:cstheme="minorHAnsi"/>
          <w:szCs w:val="21"/>
        </w:rPr>
        <w:t xml:space="preserve">日 </w:t>
      </w:r>
      <w:r>
        <w:rPr>
          <w:rFonts w:asciiTheme="minorHAnsi" w:hAnsiTheme="minorHAnsi" w:eastAsiaTheme="majorEastAsia" w:cstheme="minorHAnsi"/>
          <w:szCs w:val="21"/>
        </w:rPr>
        <w:t>–</w:t>
      </w:r>
      <w:r>
        <w:rPr>
          <w:rFonts w:hint="eastAsia" w:asciiTheme="minorHAnsi" w:hAnsiTheme="minorHAnsi" w:eastAsiaTheme="majorEastAsia" w:cstheme="minorHAnsi"/>
          <w:szCs w:val="21"/>
        </w:rPr>
        <w:t xml:space="preserve"> 8月</w:t>
      </w:r>
      <w:r>
        <w:rPr>
          <w:rFonts w:asciiTheme="minorHAnsi" w:hAnsiTheme="minorHAnsi" w:eastAsiaTheme="majorEastAsia" w:cstheme="minorHAnsi"/>
          <w:szCs w:val="21"/>
        </w:rPr>
        <w:t>18</w:t>
      </w:r>
      <w:r>
        <w:rPr>
          <w:rFonts w:hint="eastAsia" w:asciiTheme="minorHAnsi" w:hAnsiTheme="minorHAnsi" w:eastAsiaTheme="majorEastAsia" w:cstheme="minorHAnsi"/>
          <w:szCs w:val="21"/>
        </w:rPr>
        <w:t xml:space="preserve">日（3周）  </w:t>
      </w:r>
      <w:r>
        <w:rPr>
          <w:rFonts w:hint="eastAsia" w:asciiTheme="minorHAnsi" w:hAnsiTheme="minorHAnsi" w:eastAsiaTheme="majorEastAsia" w:cstheme="minorHAnsi"/>
          <w:b/>
          <w:szCs w:val="21"/>
        </w:rPr>
        <w:t xml:space="preserve"> </w:t>
      </w:r>
    </w:p>
    <w:p>
      <w:pPr>
        <w:spacing w:line="360" w:lineRule="auto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  <w:r>
        <w:rPr>
          <w:rFonts w:cs="Calibri" w:asciiTheme="minorHAnsi" w:hAnsiTheme="minorHAnsi"/>
          <w:szCs w:val="21"/>
        </w:rPr>
        <w:br w:type="textWrapping"/>
      </w: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课程内容</w:t>
      </w:r>
      <w:r>
        <w:rPr>
          <w:rFonts w:cs="Calibri" w:asciiTheme="minorHAnsi" w:hAnsiTheme="minorHAnsi"/>
          <w:szCs w:val="21"/>
        </w:rPr>
        <w:t>】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LSE暑期专业学习课程每期为三周，包括至少54小时授课时间，其中包括36小时讲座与18小时班级研讨，同时学生每天还需花约2至3小时用于自主学习。每期课程学生选择一门专业课，主要领域包括会计学、商科与管理、经济学、金融、国际关系、法律、科研方法、英语等。每个领域的课程均由浅至深分为100、200和300三种级别，选择200和300级别的课程通常要求学生在国内大学已经修读过相关专业课程。 详细的选课列表请见附件一，更多课程详情和先修课程的要求，可参考</w:t>
      </w:r>
      <w:r>
        <w:fldChar w:fldCharType="begin"/>
      </w:r>
      <w:r>
        <w:instrText xml:space="preserve"> HYPERLINK "https://www.lse.ac.uk/study-at-lse/summer-schools/summer-school/courses" </w:instrText>
      </w:r>
      <w:r>
        <w:fldChar w:fldCharType="separate"/>
      </w:r>
      <w:r>
        <w:rPr>
          <w:rStyle w:val="15"/>
          <w:rFonts w:hint="eastAsia" w:asciiTheme="minorHAnsi" w:hAnsiTheme="minorHAnsi" w:eastAsiaTheme="majorEastAsia" w:cstheme="minorHAnsi"/>
          <w:szCs w:val="21"/>
        </w:rPr>
        <w:t>学校官网</w:t>
      </w:r>
      <w:r>
        <w:rPr>
          <w:rStyle w:val="15"/>
          <w:rFonts w:hint="eastAsia" w:asciiTheme="minorHAnsi" w:hAnsiTheme="minorHAnsi" w:eastAsiaTheme="majorEastAsia" w:cstheme="minorHAnsi"/>
          <w:szCs w:val="21"/>
        </w:rPr>
        <w:fldChar w:fldCharType="end"/>
      </w:r>
      <w:r>
        <w:rPr>
          <w:rFonts w:hint="eastAsia" w:asciiTheme="minorHAnsi" w:hAnsiTheme="minorHAnsi" w:eastAsiaTheme="majorEastAsia" w:cstheme="minorHAnsi"/>
          <w:szCs w:val="21"/>
        </w:rPr>
        <w:t>。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希望提高在商务领域英语应用技能的学生，也可选择商务英语专业课程，该课程同属专业课程，只在第三期开设。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没有托福或雅思成绩的学生，可在申请时提交符合要求的大学英语四级成绩。 学生必须先参加一周的强化英语课程再参加专业课的学习，这样学习时间总共为四周。强化英语课程的开课时间为：202</w:t>
      </w:r>
      <w:r>
        <w:rPr>
          <w:rFonts w:asciiTheme="minorHAnsi" w:hAnsiTheme="minorHAnsi" w:eastAsiaTheme="majorEastAsia" w:cstheme="minorHAnsi"/>
          <w:szCs w:val="21"/>
        </w:rPr>
        <w:t>3</w:t>
      </w:r>
      <w:r>
        <w:rPr>
          <w:rFonts w:hint="eastAsia" w:asciiTheme="minorHAnsi" w:hAnsiTheme="minorHAnsi" w:eastAsiaTheme="majorEastAsia" w:cstheme="minorHAnsi"/>
          <w:szCs w:val="21"/>
        </w:rPr>
        <w:t>年6月1</w:t>
      </w:r>
      <w:r>
        <w:rPr>
          <w:rFonts w:asciiTheme="minorHAnsi" w:hAnsiTheme="minorHAnsi" w:eastAsiaTheme="majorEastAsia" w:cstheme="minorHAnsi"/>
          <w:szCs w:val="21"/>
        </w:rPr>
        <w:t>2</w:t>
      </w:r>
      <w:r>
        <w:rPr>
          <w:rFonts w:hint="eastAsia" w:asciiTheme="minorHAnsi" w:hAnsiTheme="minorHAnsi" w:eastAsiaTheme="majorEastAsia" w:cstheme="minorHAnsi"/>
          <w:szCs w:val="21"/>
        </w:rPr>
        <w:t>日、7月</w:t>
      </w:r>
      <w:r>
        <w:rPr>
          <w:rFonts w:asciiTheme="minorHAnsi" w:hAnsiTheme="minorHAnsi" w:eastAsiaTheme="majorEastAsia" w:cstheme="minorHAnsi"/>
          <w:szCs w:val="21"/>
        </w:rPr>
        <w:t>3</w:t>
      </w:r>
      <w:r>
        <w:rPr>
          <w:rFonts w:hint="eastAsia" w:asciiTheme="minorHAnsi" w:hAnsiTheme="minorHAnsi" w:eastAsiaTheme="majorEastAsia" w:cstheme="minorHAnsi"/>
          <w:szCs w:val="21"/>
        </w:rPr>
        <w:t>日、7月2</w:t>
      </w:r>
      <w:r>
        <w:rPr>
          <w:rFonts w:asciiTheme="minorHAnsi" w:hAnsiTheme="minorHAnsi" w:eastAsiaTheme="majorEastAsia" w:cstheme="minorHAnsi"/>
          <w:szCs w:val="21"/>
        </w:rPr>
        <w:t>4</w:t>
      </w:r>
      <w:r>
        <w:rPr>
          <w:rFonts w:hint="eastAsia" w:asciiTheme="minorHAnsi" w:hAnsiTheme="minorHAnsi" w:eastAsiaTheme="majorEastAsia" w:cstheme="minorHAnsi"/>
          <w:szCs w:val="21"/>
        </w:rPr>
        <w:t>日。</w:t>
      </w:r>
    </w:p>
    <w:p>
      <w:pPr>
        <w:spacing w:line="360" w:lineRule="auto"/>
        <w:rPr>
          <w:rFonts w:cs="Calibri" w:asciiTheme="minorHAnsi" w:hAnsiTheme="minorHAnsi"/>
          <w:szCs w:val="21"/>
        </w:rPr>
      </w:pPr>
    </w:p>
    <w:p>
      <w:pPr>
        <w:spacing w:line="360" w:lineRule="auto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项目考核</w:t>
      </w:r>
      <w:r>
        <w:rPr>
          <w:rFonts w:cs="Calibri" w:asciiTheme="minorHAnsi" w:hAnsiTheme="minorHAnsi"/>
          <w:szCs w:val="21"/>
        </w:rPr>
        <w:t>】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asciiTheme="minorHAnsi" w:hAnsiTheme="minorHAnsi" w:eastAsiaTheme="majorEastAsia" w:cstheme="minorHAnsi"/>
          <w:szCs w:val="21"/>
        </w:rPr>
        <w:t>参加项目的学生与</w:t>
      </w:r>
      <w:r>
        <w:rPr>
          <w:rFonts w:hint="eastAsia" w:cs="Arial" w:asciiTheme="minorHAnsi" w:hAnsiTheme="minorHAnsi"/>
          <w:color w:val="333333"/>
          <w:kern w:val="0"/>
          <w:szCs w:val="21"/>
        </w:rPr>
        <w:t>其他</w:t>
      </w:r>
      <w:r>
        <w:rPr>
          <w:rFonts w:cs="Arial" w:asciiTheme="minorHAnsi" w:hAnsiTheme="minorHAnsi"/>
          <w:color w:val="333333"/>
          <w:kern w:val="0"/>
          <w:szCs w:val="21"/>
        </w:rPr>
        <w:t>国际</w:t>
      </w:r>
      <w:r>
        <w:rPr>
          <w:rFonts w:asciiTheme="minorHAnsi" w:hAnsiTheme="minorHAnsi" w:eastAsiaTheme="majorEastAsia" w:cstheme="minorHAnsi"/>
          <w:szCs w:val="21"/>
        </w:rPr>
        <w:t>学生混合编班，由</w:t>
      </w:r>
      <w:r>
        <w:rPr>
          <w:rFonts w:hint="eastAsia" w:cs="Arial" w:asciiTheme="minorHAnsi" w:hAnsiTheme="minorHAnsi"/>
          <w:color w:val="333333"/>
          <w:kern w:val="0"/>
          <w:szCs w:val="21"/>
        </w:rPr>
        <w:t>LSE</w:t>
      </w:r>
      <w:r>
        <w:rPr>
          <w:rFonts w:asciiTheme="minorHAnsi" w:hAnsiTheme="minorHAnsi" w:eastAsiaTheme="majorEastAsia" w:cstheme="minorHAnsi"/>
          <w:szCs w:val="21"/>
        </w:rPr>
        <w:t>进行统一的学术管理与学术考核。</w:t>
      </w:r>
      <w:r>
        <w:rPr>
          <w:rFonts w:hint="eastAsia" w:asciiTheme="minorHAnsi" w:hAnsiTheme="minorHAnsi" w:eastAsiaTheme="majorEastAsia" w:cstheme="minorHAnsi"/>
          <w:szCs w:val="21"/>
        </w:rPr>
        <w:t>课程的考核方式通常为两次笔试、或一次期末考试加考核作业。完成学习并通过考核后，学生将获得LSE颁发的正式成绩单与项目证书。</w:t>
      </w:r>
      <w:r>
        <w:rPr>
          <w:rFonts w:asciiTheme="minorHAnsi" w:hAnsiTheme="minorHAnsi" w:eastAsiaTheme="majorEastAsia" w:cstheme="minorHAnsi"/>
          <w:szCs w:val="21"/>
        </w:rPr>
        <w:br w:type="textWrapping"/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2317750</wp:posOffset>
            </wp:positionH>
            <wp:positionV relativeFrom="paragraph">
              <wp:posOffset>-762635</wp:posOffset>
            </wp:positionV>
            <wp:extent cx="2209800" cy="2724785"/>
            <wp:effectExtent l="19050" t="19050" r="19050" b="18415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272478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31750</wp:posOffset>
            </wp:positionH>
            <wp:positionV relativeFrom="paragraph">
              <wp:posOffset>-791845</wp:posOffset>
            </wp:positionV>
            <wp:extent cx="2124075" cy="2752725"/>
            <wp:effectExtent l="0" t="0" r="9525" b="9525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2752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jc w:val="left"/>
        <w:rPr>
          <w:rFonts w:hint="eastAsia"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图：LSE暑期课程成绩单与证书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spacing w:line="360" w:lineRule="auto"/>
        <w:ind w:firstLine="440" w:firstLineChars="200"/>
        <w:rPr>
          <w:rFonts w:cs="Calibri" w:asciiTheme="minorHAnsi" w:hAnsiTheme="minorHAnsi"/>
          <w:sz w:val="22"/>
          <w:szCs w:val="22"/>
        </w:rPr>
      </w:pPr>
      <w:r>
        <w:rPr>
          <w:rFonts w:hint="eastAsia" w:cs="Calibri" w:asciiTheme="minorHAnsi" w:hAnsiTheme="minorHAnsi"/>
          <w:sz w:val="22"/>
          <w:szCs w:val="22"/>
        </w:rPr>
        <w:t>项目学生均可获得</w:t>
      </w:r>
      <w:r>
        <w:rPr>
          <w:rFonts w:hint="eastAsia" w:asciiTheme="minorHAnsi" w:hAnsiTheme="minorHAnsi" w:eastAsiaTheme="majorEastAsia" w:cstheme="minorHAnsi"/>
          <w:szCs w:val="21"/>
        </w:rPr>
        <w:t>LSE</w:t>
      </w:r>
      <w:r>
        <w:rPr>
          <w:rFonts w:hint="eastAsia" w:cs="Calibri" w:asciiTheme="minorHAnsi" w:hAnsiTheme="minorHAnsi"/>
          <w:sz w:val="22"/>
          <w:szCs w:val="22"/>
        </w:rPr>
        <w:t>正式注册的学生证，凭借学生证可在项目期内，按校方规定使用学校的校园设施与教育资源，包括图书馆、健身房、活动中心等。</w:t>
      </w:r>
      <w:r>
        <w:rPr>
          <w:rFonts w:hint="eastAsia" w:asciiTheme="minorHAnsi" w:hAnsiTheme="minorHAnsi" w:eastAsiaTheme="majorEastAsia" w:cstheme="minorHAnsi"/>
          <w:szCs w:val="21"/>
        </w:rPr>
        <w:t>参加LSE暑期课程的学生可入住</w:t>
      </w:r>
      <w:r>
        <w:rPr>
          <w:rFonts w:hint="default" w:asciiTheme="minorHAnsi" w:hAnsiTheme="minorHAnsi" w:eastAsiaTheme="majorEastAsia" w:cstheme="minorHAnsi"/>
          <w:szCs w:val="21"/>
        </w:rPr>
        <w:t>LSE学生公寓</w:t>
      </w:r>
      <w:r>
        <w:rPr>
          <w:rFonts w:hint="eastAsia" w:asciiTheme="minorHAnsi" w:hAnsiTheme="minorHAnsi" w:eastAsiaTheme="majorEastAsia" w:cstheme="minorHAnsi"/>
          <w:szCs w:val="21"/>
        </w:rPr>
        <w:t>（大部分位于伦敦市中心）。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项目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费用</w:t>
      </w:r>
      <w:r>
        <w:rPr>
          <w:rFonts w:cs="Calibri" w:asciiTheme="minorHAnsi" w:hAnsiTheme="minorHAnsi"/>
          <w:szCs w:val="21"/>
        </w:rPr>
        <w:t>】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6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951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项目总费用</w:t>
            </w:r>
          </w:p>
        </w:tc>
        <w:tc>
          <w:tcPr>
            <w:tcW w:w="6571" w:type="dxa"/>
          </w:tcPr>
          <w:p>
            <w:pPr>
              <w:spacing w:line="360" w:lineRule="auto"/>
              <w:ind w:firstLine="420" w:firstLineChars="200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参加一期暑期专业课程（3周）的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项目费用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约为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3,823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英镑（约合人民币3.2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9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万元）。如需提前修读1周语言课程，则4周课程的项目费用约为4,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693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英镑（约合人民币4.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04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万元）。</w:t>
            </w:r>
          </w:p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注：以上为参考费用，受汇率浮动等因素影响，以最终实际缴费金额为准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费用包括：</w:t>
            </w:r>
          </w:p>
        </w:tc>
        <w:tc>
          <w:tcPr>
            <w:tcW w:w="6571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asciiTheme="minorHAnsi" w:hAnsiTheme="minorHAnsi" w:eastAsiaTheme="majorEastAsia" w:cstheme="minorHAnsi"/>
                <w:szCs w:val="21"/>
              </w:rPr>
              <w:t>学费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、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申请费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、医疗与意外险、以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及项目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服务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费用不包括：</w:t>
            </w:r>
          </w:p>
        </w:tc>
        <w:tc>
          <w:tcPr>
            <w:tcW w:w="6571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asciiTheme="minorHAnsi" w:hAnsiTheme="minorHAnsi" w:eastAsiaTheme="majorEastAsia" w:cstheme="minorHAnsi"/>
                <w:szCs w:val="21"/>
              </w:rPr>
              <w:t>机票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、英国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签证费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、住宿/餐费、与个人消费</w:t>
            </w:r>
          </w:p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注：L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SE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的学生公寓价格因地点不同而存在差异，以最终实际预订情况为准。</w:t>
            </w:r>
          </w:p>
        </w:tc>
      </w:tr>
    </w:tbl>
    <w:p>
      <w:pPr>
        <w:spacing w:line="360" w:lineRule="auto"/>
        <w:rPr>
          <w:rFonts w:asciiTheme="minorHAnsi" w:hAnsiTheme="minorHAnsi" w:eastAsiaTheme="majorEastAsia" w:cstheme="minorHAnsi"/>
          <w:szCs w:val="21"/>
        </w:rPr>
      </w:pPr>
    </w:p>
    <w:p>
      <w:pPr>
        <w:spacing w:line="360" w:lineRule="auto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四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、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项目申请</w:t>
      </w:r>
    </w:p>
    <w:p>
      <w:pPr>
        <w:pStyle w:val="20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Cs w:val="21"/>
        </w:rPr>
        <w:t>选拔要求</w:t>
      </w:r>
    </w:p>
    <w:p>
      <w:pPr>
        <w:pStyle w:val="20"/>
        <w:numPr>
          <w:ilvl w:val="0"/>
          <w:numId w:val="4"/>
        </w:numPr>
        <w:spacing w:line="360" w:lineRule="auto"/>
        <w:ind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asciiTheme="minorHAnsi" w:hAnsiTheme="minorHAnsi" w:eastAsiaTheme="majorEastAsia" w:cstheme="minorHAnsi"/>
          <w:szCs w:val="21"/>
        </w:rPr>
        <w:t>英语要求</w:t>
      </w:r>
      <w:r>
        <w:rPr>
          <w:rFonts w:hint="eastAsia" w:asciiTheme="minorHAnsi" w:hAnsiTheme="minorHAnsi" w:eastAsiaTheme="majorEastAsia" w:cstheme="minorHAnsi"/>
          <w:szCs w:val="21"/>
        </w:rPr>
        <w:t>：</w:t>
      </w:r>
    </w:p>
    <w:p>
      <w:pPr>
        <w:pStyle w:val="26"/>
        <w:widowControl/>
        <w:numPr>
          <w:ilvl w:val="1"/>
          <w:numId w:val="5"/>
        </w:numPr>
        <w:spacing w:line="360" w:lineRule="auto"/>
        <w:ind w:left="1050" w:hanging="420"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托福9</w:t>
      </w:r>
      <w:r>
        <w:rPr>
          <w:rFonts w:asciiTheme="minorHAnsi" w:hAnsiTheme="minorHAnsi" w:eastAsiaTheme="majorEastAsia" w:cstheme="minorHAnsi"/>
          <w:szCs w:val="21"/>
        </w:rPr>
        <w:t>3-107</w:t>
      </w:r>
      <w:r>
        <w:rPr>
          <w:rFonts w:hint="eastAsia" w:asciiTheme="minorHAnsi" w:hAnsiTheme="minorHAnsi" w:eastAsiaTheme="majorEastAsia" w:cstheme="minorHAnsi"/>
          <w:szCs w:val="21"/>
        </w:rPr>
        <w:t>，或雅思6</w:t>
      </w:r>
      <w:r>
        <w:rPr>
          <w:rFonts w:asciiTheme="minorHAnsi" w:hAnsiTheme="minorHAnsi" w:eastAsiaTheme="majorEastAsia" w:cstheme="minorHAnsi"/>
          <w:szCs w:val="21"/>
        </w:rPr>
        <w:t>.5-7.0</w:t>
      </w:r>
      <w:r>
        <w:rPr>
          <w:rFonts w:hint="eastAsia" w:asciiTheme="minorHAnsi" w:hAnsiTheme="minorHAnsi" w:eastAsiaTheme="majorEastAsia" w:cstheme="minorHAnsi"/>
          <w:szCs w:val="21"/>
        </w:rPr>
        <w:t>（不同专业的英语要求有所差异）；</w:t>
      </w:r>
      <w:r>
        <w:rPr>
          <w:rFonts w:hint="eastAsia" w:ascii="Times New Roman" w:hAnsi="Times New Roman" w:eastAsia="宋体" w:cs="宋体"/>
          <w:lang w:eastAsia="zh-CN"/>
        </w:rPr>
        <w:t>金融，经济，会计学、科研方法（</w:t>
      </w:r>
      <w:r>
        <w:rPr>
          <w:lang w:val="en-US"/>
        </w:rPr>
        <w:t>ME305</w:t>
      </w:r>
      <w:r>
        <w:rPr>
          <w:rFonts w:hint="eastAsia" w:ascii="Times New Roman" w:hAnsi="Times New Roman" w:eastAsia="宋体" w:cs="宋体"/>
          <w:lang w:eastAsia="zh-CN"/>
        </w:rPr>
        <w:t>课程除外）：托福</w:t>
      </w:r>
      <w:r>
        <w:rPr>
          <w:lang w:val="en-US"/>
        </w:rPr>
        <w:t>93</w:t>
      </w:r>
      <w:r>
        <w:rPr>
          <w:rFonts w:hint="eastAsia" w:ascii="Times New Roman" w:hAnsi="Times New Roman" w:eastAsia="宋体" w:cs="宋体"/>
          <w:lang w:eastAsia="zh-CN"/>
        </w:rPr>
        <w:t>（单项不低于</w:t>
      </w:r>
      <w:r>
        <w:rPr>
          <w:lang w:val="en-US"/>
        </w:rPr>
        <w:t>23</w:t>
      </w:r>
      <w:r>
        <w:rPr>
          <w:rFonts w:hint="eastAsia" w:ascii="Times New Roman" w:hAnsi="Times New Roman" w:eastAsia="宋体" w:cs="宋体"/>
          <w:lang w:eastAsia="zh-CN"/>
        </w:rPr>
        <w:t>）；雅思</w:t>
      </w:r>
      <w:r>
        <w:rPr>
          <w:lang w:val="en-US"/>
        </w:rPr>
        <w:t>6.5</w:t>
      </w:r>
      <w:r>
        <w:rPr>
          <w:rFonts w:hint="eastAsia" w:ascii="Times New Roman" w:hAnsi="Times New Roman" w:eastAsia="宋体" w:cs="宋体"/>
          <w:lang w:eastAsia="zh-CN"/>
        </w:rPr>
        <w:t>（单项不低于</w:t>
      </w:r>
      <w:r>
        <w:rPr>
          <w:lang w:val="en-US"/>
        </w:rPr>
        <w:t>6.5</w:t>
      </w:r>
      <w:r>
        <w:rPr>
          <w:rFonts w:hint="eastAsia" w:ascii="Times New Roman" w:hAnsi="Times New Roman" w:eastAsia="宋体" w:cs="宋体"/>
          <w:lang w:eastAsia="zh-CN"/>
        </w:rPr>
        <w:t>）；商科与管理、国际关系、法律：托福</w:t>
      </w:r>
      <w:r>
        <w:rPr>
          <w:lang w:val="en-US"/>
        </w:rPr>
        <w:t>107</w:t>
      </w:r>
      <w:r>
        <w:rPr>
          <w:rFonts w:hint="eastAsia" w:ascii="Times New Roman" w:hAnsi="Times New Roman" w:eastAsia="宋体" w:cs="宋体"/>
          <w:lang w:eastAsia="zh-CN"/>
        </w:rPr>
        <w:t>（单项不低于</w:t>
      </w:r>
      <w:r>
        <w:rPr>
          <w:lang w:val="en-US"/>
        </w:rPr>
        <w:t>25</w:t>
      </w:r>
      <w:r>
        <w:rPr>
          <w:rFonts w:hint="eastAsia" w:ascii="Times New Roman" w:hAnsi="Times New Roman" w:eastAsia="宋体" w:cs="宋体"/>
          <w:lang w:eastAsia="zh-CN"/>
        </w:rPr>
        <w:t>）；雅思</w:t>
      </w:r>
      <w:r>
        <w:rPr>
          <w:lang w:val="en-US"/>
        </w:rPr>
        <w:t>7.0</w:t>
      </w:r>
      <w:r>
        <w:rPr>
          <w:rFonts w:hint="eastAsia" w:ascii="Times New Roman" w:hAnsi="Times New Roman" w:eastAsia="宋体" w:cs="宋体"/>
          <w:lang w:eastAsia="zh-CN"/>
        </w:rPr>
        <w:t>（单项不低于</w:t>
      </w:r>
      <w:r>
        <w:rPr>
          <w:lang w:val="en-US"/>
        </w:rPr>
        <w:t>7.0</w:t>
      </w:r>
      <w:r>
        <w:rPr>
          <w:rFonts w:hint="eastAsia" w:ascii="Times New Roman" w:hAnsi="Times New Roman" w:eastAsia="宋体" w:cs="宋体"/>
          <w:lang w:eastAsia="zh-CN"/>
        </w:rPr>
        <w:t>）</w:t>
      </w:r>
    </w:p>
    <w:p>
      <w:pPr>
        <w:pStyle w:val="20"/>
        <w:numPr>
          <w:ilvl w:val="1"/>
          <w:numId w:val="4"/>
        </w:numPr>
        <w:spacing w:line="360" w:lineRule="auto"/>
        <w:ind w:firstLineChars="0"/>
        <w:rPr>
          <w:rFonts w:asciiTheme="minorHAnsi" w:hAnsiTheme="minorHAnsi" w:eastAsiaTheme="majorEastAsia" w:cstheme="minorHAnsi"/>
          <w:szCs w:val="21"/>
        </w:rPr>
      </w:pPr>
      <w:bookmarkStart w:id="0" w:name="_GoBack"/>
      <w:r>
        <w:rPr>
          <w:rFonts w:hint="eastAsia" w:asciiTheme="minorHAnsi" w:hAnsiTheme="minorHAnsi" w:eastAsiaTheme="majorEastAsia" w:cstheme="minorHAnsi"/>
          <w:szCs w:val="21"/>
        </w:rPr>
        <w:t>商务英语：托福79，或雅思6.0或四级达到470分</w:t>
      </w:r>
      <w:bookmarkEnd w:id="0"/>
      <w:r>
        <w:rPr>
          <w:rFonts w:hint="eastAsia" w:asciiTheme="minorHAnsi" w:hAnsiTheme="minorHAnsi" w:eastAsiaTheme="majorEastAsia" w:cstheme="minorHAnsi"/>
          <w:szCs w:val="21"/>
        </w:rPr>
        <w:t>；</w:t>
      </w:r>
    </w:p>
    <w:p>
      <w:pPr>
        <w:pStyle w:val="20"/>
        <w:numPr>
          <w:ilvl w:val="1"/>
          <w:numId w:val="4"/>
        </w:numPr>
        <w:spacing w:line="360" w:lineRule="auto"/>
        <w:ind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szCs w:val="21"/>
        </w:rPr>
        <w:t>如果不具备托福或雅思成绩，还可通过以下两种方式参加项目：</w:t>
      </w:r>
      <w:r>
        <w:rPr>
          <w:rFonts w:asciiTheme="minorHAnsi" w:hAnsiTheme="minorHAnsi" w:eastAsiaTheme="majorEastAsia" w:cstheme="minorHAnsi"/>
          <w:b/>
          <w:bCs/>
          <w:szCs w:val="21"/>
        </w:rPr>
        <w:br w:type="textWrapping"/>
      </w:r>
      <w:r>
        <w:rPr>
          <w:rFonts w:hint="eastAsia" w:asciiTheme="minorHAnsi" w:hAnsiTheme="minorHAnsi" w:eastAsiaTheme="majorEastAsia" w:cstheme="minorHAnsi"/>
          <w:b/>
          <w:bCs/>
          <w:szCs w:val="21"/>
        </w:rPr>
        <w:t>1）大学英语四级达到470</w:t>
      </w:r>
      <w:r>
        <w:rPr>
          <w:rFonts w:hint="default" w:asciiTheme="minorHAnsi" w:hAnsiTheme="minorHAnsi" w:eastAsiaTheme="majorEastAsia" w:cstheme="minorHAnsi"/>
          <w:b/>
          <w:bCs/>
          <w:szCs w:val="21"/>
        </w:rPr>
        <w:t>或六级450</w:t>
      </w:r>
      <w:r>
        <w:rPr>
          <w:rFonts w:hint="eastAsia" w:asciiTheme="minorHAnsi" w:hAnsiTheme="minorHAnsi" w:eastAsiaTheme="majorEastAsia" w:cstheme="minorHAnsi"/>
          <w:b/>
          <w:bCs/>
          <w:szCs w:val="21"/>
        </w:rPr>
        <w:t>, 或英语专业四级通过，需先读一周英语强化课程，即可继续修读专业课；</w:t>
      </w:r>
      <w:r>
        <w:rPr>
          <w:rFonts w:asciiTheme="minorHAnsi" w:hAnsiTheme="minorHAnsi" w:eastAsiaTheme="majorEastAsia" w:cstheme="minorHAnsi"/>
          <w:b/>
          <w:bCs/>
          <w:szCs w:val="21"/>
        </w:rPr>
        <w:br w:type="textWrapping"/>
      </w:r>
      <w:r>
        <w:rPr>
          <w:rFonts w:hint="eastAsia" w:asciiTheme="minorHAnsi" w:hAnsiTheme="minorHAnsi" w:eastAsiaTheme="majorEastAsia" w:cstheme="minorHAnsi"/>
          <w:b/>
          <w:bCs/>
          <w:szCs w:val="21"/>
        </w:rPr>
        <w:t>2）英语专业八级通过，可直接修读专业课</w:t>
      </w:r>
    </w:p>
    <w:p>
      <w:pPr>
        <w:pStyle w:val="20"/>
        <w:numPr>
          <w:ilvl w:val="0"/>
          <w:numId w:val="4"/>
        </w:numPr>
        <w:spacing w:line="360" w:lineRule="auto"/>
        <w:ind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学术要求： 商务英语课程要求GPA 3.0（相当于80分）；其他学分课程要求GPA 3.3（相当于85分）</w:t>
      </w:r>
    </w:p>
    <w:p>
      <w:pPr>
        <w:pStyle w:val="20"/>
        <w:numPr>
          <w:ilvl w:val="0"/>
          <w:numId w:val="3"/>
        </w:numPr>
        <w:spacing w:line="360" w:lineRule="auto"/>
        <w:ind w:firstLineChars="0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Cs w:val="21"/>
        </w:rPr>
        <w:t>报名</w:t>
      </w:r>
      <w:r>
        <w:rPr>
          <w:rFonts w:hint="eastAsia" w:asciiTheme="minorHAnsi" w:hAnsiTheme="minorHAnsi" w:eastAsiaTheme="majorEastAsia" w:cstheme="minorHAnsi"/>
          <w:b/>
          <w:kern w:val="0"/>
          <w:szCs w:val="21"/>
        </w:rPr>
        <w:t>方式</w:t>
      </w:r>
    </w:p>
    <w:p>
      <w:pPr>
        <w:pStyle w:val="20"/>
        <w:numPr>
          <w:ilvl w:val="0"/>
          <w:numId w:val="6"/>
        </w:numPr>
        <w:spacing w:line="360" w:lineRule="auto"/>
        <w:ind w:firstLineChars="0"/>
        <w:jc w:val="left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asciiTheme="minorHAnsi" w:hAnsiTheme="minorHAnsi" w:eastAsiaTheme="majorEastAsia" w:cstheme="minorHAnsi"/>
          <w:szCs w:val="21"/>
        </w:rPr>
        <w:t>登录全美国际教育协会网站</w:t>
      </w:r>
      <w:r>
        <w:fldChar w:fldCharType="begin"/>
      </w:r>
      <w:r>
        <w:instrText xml:space="preserve"> HYPERLINK "http://www.usiea.org" </w:instrText>
      </w:r>
      <w:r>
        <w:fldChar w:fldCharType="separate"/>
      </w:r>
      <w:r>
        <w:rPr>
          <w:rStyle w:val="15"/>
          <w:rFonts w:hint="eastAsia" w:asciiTheme="minorHAnsi" w:hAnsiTheme="minorHAnsi" w:eastAsiaTheme="majorEastAsia" w:cstheme="minorHAnsi"/>
          <w:szCs w:val="21"/>
        </w:rPr>
        <w:t>www.usiea.org</w:t>
      </w:r>
      <w:r>
        <w:rPr>
          <w:rStyle w:val="15"/>
          <w:rFonts w:hint="eastAsia" w:asciiTheme="minorHAnsi" w:hAnsiTheme="minorHAnsi" w:eastAsiaTheme="majorEastAsia" w:cstheme="minorHAnsi"/>
          <w:szCs w:val="21"/>
        </w:rPr>
        <w:fldChar w:fldCharType="end"/>
      </w:r>
      <w:r>
        <w:rPr>
          <w:rFonts w:hint="eastAsia" w:asciiTheme="minorHAnsi" w:hAnsiTheme="minorHAnsi" w:eastAsiaTheme="majorEastAsia" w:cstheme="minorHAnsi"/>
          <w:szCs w:val="21"/>
        </w:rPr>
        <w:t xml:space="preserve"> </w:t>
      </w:r>
      <w:r>
        <w:rPr>
          <w:rFonts w:asciiTheme="minorHAnsi" w:hAnsiTheme="minorHAnsi" w:eastAsiaTheme="majorEastAsia" w:cstheme="minorHAnsi"/>
          <w:szCs w:val="21"/>
        </w:rPr>
        <w:t>填写《</w:t>
      </w:r>
      <w:r>
        <w:rPr>
          <w:rFonts w:hint="eastAsia" w:asciiTheme="minorHAnsi" w:hAnsiTheme="minorHAnsi" w:eastAsiaTheme="majorEastAsia" w:cstheme="minorHAnsi"/>
          <w:szCs w:val="21"/>
        </w:rPr>
        <w:t>世界</w:t>
      </w:r>
      <w:r>
        <w:rPr>
          <w:rFonts w:asciiTheme="minorHAnsi" w:hAnsiTheme="minorHAnsi" w:eastAsiaTheme="majorEastAsia" w:cstheme="minorHAnsi"/>
          <w:szCs w:val="21"/>
        </w:rPr>
        <w:t>名校访学项目报名表》</w:t>
      </w:r>
      <w:r>
        <w:rPr>
          <w:rFonts w:hint="eastAsia" w:asciiTheme="minorHAnsi" w:hAnsiTheme="minorHAnsi" w:eastAsiaTheme="majorEastAsia" w:cstheme="minorHAnsi"/>
          <w:szCs w:val="21"/>
        </w:rPr>
        <w:t>；</w:t>
      </w:r>
    </w:p>
    <w:p>
      <w:pPr>
        <w:widowControl/>
        <w:spacing w:line="360" w:lineRule="auto"/>
        <w:jc w:val="left"/>
        <w:rPr>
          <w:rFonts w:cs="宋体" w:asciiTheme="minorHAnsi" w:hAnsiTheme="minorHAnsi"/>
          <w:kern w:val="0"/>
          <w:szCs w:val="21"/>
        </w:rPr>
      </w:pPr>
      <w:r>
        <w:rPr>
          <w:rFonts w:hint="eastAsia" w:cs="宋体" w:asciiTheme="minorHAnsi" w:hAnsiTheme="minorHAnsi"/>
          <w:kern w:val="0"/>
          <w:szCs w:val="21"/>
        </w:rPr>
        <w:t>———————————————————————————————————————</w:t>
      </w:r>
    </w:p>
    <w:p>
      <w:pPr>
        <w:spacing w:line="360" w:lineRule="auto"/>
        <w:ind w:left="360"/>
        <w:rPr>
          <w:rFonts w:asciiTheme="minorHAnsi" w:hAnsiTheme="minorHAnsi" w:eastAsiaTheme="majorEastAsia" w:cstheme="minorHAnsi"/>
          <w:szCs w:val="21"/>
        </w:rPr>
      </w:pPr>
    </w:p>
    <w:p>
      <w:pPr>
        <w:spacing w:line="360" w:lineRule="auto"/>
        <w:rPr>
          <w:rFonts w:cs="Calibri" w:asciiTheme="minorHAnsi" w:hAnsiTheme="minorHAnsi"/>
          <w:kern w:val="0"/>
          <w:sz w:val="22"/>
        </w:rPr>
      </w:pPr>
      <w:r>
        <w:rPr>
          <w:rFonts w:cs="宋体" w:asciiTheme="minorHAnsi" w:hAnsiTheme="minorHAnsi"/>
          <w:kern w:val="0"/>
          <w:sz w:val="20"/>
          <w:szCs w:val="21"/>
        </w:rPr>
        <w:t>全美国际教育协会官网：</w:t>
      </w:r>
      <w:r>
        <w:fldChar w:fldCharType="begin"/>
      </w:r>
      <w:r>
        <w:instrText xml:space="preserve"> HYPERLINK "http://www.usiea.org" </w:instrText>
      </w:r>
      <w:r>
        <w:fldChar w:fldCharType="separate"/>
      </w:r>
      <w:r>
        <w:rPr>
          <w:rFonts w:cs="Calibri" w:asciiTheme="minorHAnsi" w:hAnsiTheme="minorHAnsi"/>
          <w:color w:val="0068B7"/>
          <w:kern w:val="0"/>
          <w:sz w:val="22"/>
        </w:rPr>
        <w:t>www.usiea.org</w:t>
      </w:r>
      <w:r>
        <w:rPr>
          <w:rFonts w:cs="Calibri" w:asciiTheme="minorHAnsi" w:hAnsiTheme="minorHAnsi"/>
          <w:color w:val="0068B7"/>
          <w:kern w:val="0"/>
          <w:sz w:val="22"/>
        </w:rPr>
        <w:fldChar w:fldCharType="end"/>
      </w:r>
      <w:r>
        <w:rPr>
          <w:rFonts w:cs="Calibri" w:asciiTheme="minorHAnsi" w:hAnsiTheme="minorHAnsi"/>
          <w:kern w:val="0"/>
          <w:sz w:val="22"/>
        </w:rPr>
        <w:t xml:space="preserve"> </w:t>
      </w:r>
    </w:p>
    <w:p>
      <w:pPr>
        <w:spacing w:line="360" w:lineRule="auto"/>
        <w:rPr>
          <w:rFonts w:cs="宋体" w:asciiTheme="minorHAnsi" w:hAnsiTheme="minorHAnsi"/>
          <w:kern w:val="0"/>
          <w:sz w:val="20"/>
          <w:szCs w:val="21"/>
        </w:rPr>
      </w:pPr>
      <w:r>
        <w:rPr>
          <w:rFonts w:cs="宋体" w:asciiTheme="minorHAnsi" w:hAnsiTheme="minorHAnsi"/>
          <w:kern w:val="0"/>
          <w:sz w:val="20"/>
          <w:szCs w:val="21"/>
        </w:rPr>
        <w:t>全美国际教育协会官微：全美国际访学微刊</w:t>
      </w:r>
    </w:p>
    <w:p>
      <w:pPr>
        <w:widowControl/>
        <w:spacing w:line="360" w:lineRule="auto"/>
        <w:jc w:val="left"/>
        <w:rPr>
          <w:rFonts w:cs="Calibri" w:asciiTheme="minorHAnsi" w:hAnsiTheme="minorHAnsi"/>
          <w:color w:val="0068B7"/>
          <w:kern w:val="0"/>
          <w:sz w:val="22"/>
        </w:rPr>
      </w:pPr>
      <w:r>
        <w:rPr>
          <w:rFonts w:cs="宋体" w:asciiTheme="minorHAnsi" w:hAnsiTheme="minorHAnsi"/>
          <w:kern w:val="0"/>
          <w:sz w:val="20"/>
          <w:szCs w:val="21"/>
        </w:rPr>
        <w:t>项目邮箱咨询：</w:t>
      </w:r>
      <w:r>
        <w:fldChar w:fldCharType="begin"/>
      </w:r>
      <w:r>
        <w:instrText xml:space="preserve"> HYPERLINK "mailto:visitlse@yeah.net" </w:instrText>
      </w:r>
      <w:r>
        <w:fldChar w:fldCharType="separate"/>
      </w:r>
      <w:r>
        <w:rPr>
          <w:rFonts w:cs="Calibri" w:asciiTheme="minorHAnsi" w:hAnsiTheme="minorHAnsi"/>
          <w:color w:val="0068B7"/>
          <w:kern w:val="0"/>
          <w:sz w:val="22"/>
        </w:rPr>
        <w:t>visit</w:t>
      </w:r>
      <w:r>
        <w:rPr>
          <w:rFonts w:hint="eastAsia" w:cs="Calibri" w:asciiTheme="minorHAnsi" w:hAnsiTheme="minorHAnsi"/>
          <w:color w:val="0068B7"/>
          <w:kern w:val="0"/>
          <w:sz w:val="22"/>
        </w:rPr>
        <w:t>lse</w:t>
      </w:r>
      <w:r>
        <w:rPr>
          <w:rFonts w:cs="Calibri" w:asciiTheme="minorHAnsi" w:hAnsiTheme="minorHAnsi"/>
          <w:color w:val="0068B7"/>
          <w:kern w:val="0"/>
          <w:sz w:val="22"/>
        </w:rPr>
        <w:t>@yeah.net</w:t>
      </w:r>
      <w:r>
        <w:rPr>
          <w:rFonts w:cs="Calibri" w:asciiTheme="minorHAnsi" w:hAnsiTheme="minorHAnsi"/>
          <w:color w:val="0068B7"/>
          <w:kern w:val="0"/>
          <w:sz w:val="22"/>
        </w:rPr>
        <w:fldChar w:fldCharType="end"/>
      </w:r>
    </w:p>
    <w:p>
      <w:pPr>
        <w:widowControl/>
        <w:spacing w:line="360" w:lineRule="auto"/>
        <w:jc w:val="left"/>
        <w:rPr>
          <w:rFonts w:cs="Calibri" w:asciiTheme="minorHAnsi" w:hAnsiTheme="minorHAnsi"/>
          <w:color w:val="0068B7"/>
          <w:kern w:val="0"/>
          <w:sz w:val="22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color w:val="0068B7"/>
          <w:kern w:val="0"/>
          <w:sz w:val="22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color w:val="0068B7"/>
          <w:kern w:val="0"/>
          <w:sz w:val="22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color w:val="0068B7"/>
          <w:kern w:val="0"/>
          <w:sz w:val="22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color w:val="0068B7"/>
          <w:kern w:val="0"/>
          <w:sz w:val="22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color w:val="0068B7"/>
          <w:kern w:val="0"/>
          <w:sz w:val="22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color w:val="0068B7"/>
          <w:kern w:val="0"/>
          <w:sz w:val="22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color w:val="0068B7"/>
          <w:kern w:val="0"/>
          <w:sz w:val="22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color w:val="0068B7"/>
          <w:kern w:val="0"/>
          <w:sz w:val="22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color w:val="0068B7"/>
          <w:kern w:val="0"/>
          <w:sz w:val="22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color w:val="0068B7"/>
          <w:kern w:val="0"/>
          <w:sz w:val="22"/>
        </w:rPr>
      </w:pPr>
    </w:p>
    <w:p>
      <w:pPr>
        <w:widowControl/>
        <w:spacing w:line="360" w:lineRule="auto"/>
        <w:jc w:val="left"/>
        <w:rPr>
          <w:rFonts w:hint="eastAsia" w:cs="Calibri" w:asciiTheme="minorHAnsi" w:hAnsiTheme="minorHAnsi"/>
          <w:color w:val="0068B7"/>
          <w:kern w:val="0"/>
          <w:sz w:val="22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color w:val="0068B7"/>
          <w:kern w:val="0"/>
          <w:sz w:val="22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color w:val="0068B7"/>
          <w:kern w:val="0"/>
          <w:sz w:val="22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color w:val="0068B7"/>
          <w:kern w:val="0"/>
          <w:sz w:val="22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color w:val="0068B7"/>
          <w:kern w:val="0"/>
          <w:sz w:val="22"/>
        </w:rPr>
      </w:pPr>
    </w:p>
    <w:p>
      <w:pPr>
        <w:spacing w:line="0" w:lineRule="atLeast"/>
        <w:jc w:val="center"/>
        <w:rPr>
          <w:b/>
          <w:color w:val="1F497D"/>
          <w:sz w:val="36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-651510</wp:posOffset>
            </wp:positionV>
            <wp:extent cx="857885" cy="299720"/>
            <wp:effectExtent l="0" t="0" r="0" b="5080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692" cy="2998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0" w:lineRule="atLeast"/>
        <w:jc w:val="center"/>
        <w:rPr>
          <w:b/>
          <w:color w:val="1F497D"/>
          <w:sz w:val="36"/>
        </w:rPr>
      </w:pPr>
      <w:r>
        <w:rPr>
          <w:rFonts w:hint="eastAsia"/>
          <w:b/>
          <w:color w:val="1F497D"/>
          <w:sz w:val="36"/>
        </w:rPr>
        <w:t>附件：</w:t>
      </w:r>
      <w:r>
        <w:rPr>
          <w:b/>
          <w:color w:val="1F497D"/>
          <w:sz w:val="36"/>
        </w:rPr>
        <w:t>伦敦政治经济学院</w:t>
      </w:r>
    </w:p>
    <w:p>
      <w:pPr>
        <w:spacing w:line="0" w:lineRule="atLeast"/>
        <w:jc w:val="center"/>
        <w:rPr>
          <w:b/>
          <w:color w:val="1F497D"/>
          <w:sz w:val="36"/>
        </w:rPr>
      </w:pPr>
      <w:r>
        <w:rPr>
          <w:rFonts w:asciiTheme="minorHAnsi" w:hAnsiTheme="minorHAnsi" w:cstheme="minorHAnsi"/>
          <w:b/>
          <w:color w:val="1F497D"/>
          <w:sz w:val="36"/>
        </w:rPr>
        <w:t>2023</w:t>
      </w:r>
      <w:r>
        <w:rPr>
          <w:b/>
          <w:color w:val="1F497D"/>
          <w:sz w:val="36"/>
        </w:rPr>
        <w:t>暑期专业</w:t>
      </w:r>
      <w:r>
        <w:rPr>
          <w:rFonts w:hint="eastAsia"/>
          <w:b/>
          <w:color w:val="1F497D"/>
          <w:sz w:val="36"/>
        </w:rPr>
        <w:t>学习</w:t>
      </w:r>
      <w:r>
        <w:rPr>
          <w:b/>
          <w:color w:val="1F497D"/>
          <w:sz w:val="36"/>
        </w:rPr>
        <w:t>课程选课表</w:t>
      </w:r>
    </w:p>
    <w:p>
      <w:pPr>
        <w:spacing w:line="360" w:lineRule="auto"/>
        <w:rPr>
          <w:rFonts w:eastAsiaTheme="minorEastAsia"/>
          <w:sz w:val="22"/>
          <w:szCs w:val="22"/>
        </w:rPr>
      </w:pPr>
    </w:p>
    <w:tbl>
      <w:tblPr>
        <w:tblStyle w:val="10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1"/>
        <w:gridCol w:w="71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3" w:type="dxa"/>
            <w:shd w:val="clear" w:color="auto" w:fill="auto"/>
          </w:tcPr>
          <w:p>
            <w:pPr>
              <w:pStyle w:val="23"/>
              <w:rPr>
                <w:rFonts w:ascii="Calibri" w:hAnsi="Calibri" w:cs="Arial"/>
                <w:color w:val="auto"/>
                <w:sz w:val="22"/>
                <w:szCs w:val="22"/>
              </w:rPr>
            </w:pPr>
            <w:r>
              <w:rPr>
                <w:rFonts w:ascii="Calibri" w:hAnsi="Calibri" w:cs="Arial"/>
                <w:color w:val="auto"/>
                <w:sz w:val="22"/>
                <w:szCs w:val="22"/>
              </w:rPr>
              <w:t>第一期</w:t>
            </w:r>
            <w:r>
              <w:rPr>
                <w:rFonts w:hint="eastAsia" w:ascii="Calibri" w:hAnsi="Calibri" w:cs="Arial"/>
                <w:color w:val="auto"/>
                <w:sz w:val="22"/>
                <w:szCs w:val="22"/>
              </w:rPr>
              <w:t>：</w:t>
            </w:r>
          </w:p>
        </w:tc>
        <w:tc>
          <w:tcPr>
            <w:tcW w:w="7407" w:type="dxa"/>
            <w:shd w:val="clear" w:color="auto" w:fill="auto"/>
          </w:tcPr>
          <w:p>
            <w:pPr>
              <w:pStyle w:val="23"/>
              <w:rPr>
                <w:rFonts w:ascii="Calibri" w:hAnsi="Calibri" w:cs="Arial"/>
                <w:color w:val="auto"/>
                <w:sz w:val="22"/>
                <w:szCs w:val="22"/>
              </w:rPr>
            </w:pPr>
            <w:r>
              <w:rPr>
                <w:rFonts w:ascii="Calibri" w:hAnsi="Calibri" w:cs="Arial"/>
                <w:color w:val="auto"/>
                <w:sz w:val="22"/>
                <w:szCs w:val="22"/>
              </w:rPr>
              <w:t>20</w:t>
            </w:r>
            <w:r>
              <w:rPr>
                <w:rFonts w:hint="eastAsia" w:ascii="Calibri" w:hAnsi="Calibri" w:cs="Arial"/>
                <w:color w:val="auto"/>
                <w:sz w:val="22"/>
                <w:szCs w:val="22"/>
              </w:rPr>
              <w:t>2</w:t>
            </w:r>
            <w:r>
              <w:rPr>
                <w:rFonts w:ascii="Calibri" w:hAnsi="Calibri" w:cs="Arial"/>
                <w:color w:val="auto"/>
                <w:sz w:val="22"/>
                <w:szCs w:val="22"/>
              </w:rPr>
              <w:t>3年6月19日–7月7日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3" w:type="dxa"/>
            <w:shd w:val="clear" w:color="auto" w:fill="auto"/>
          </w:tcPr>
          <w:p>
            <w:pPr>
              <w:pStyle w:val="23"/>
              <w:rPr>
                <w:rFonts w:ascii="Calibri" w:hAnsi="Calibri" w:cs="Arial"/>
                <w:color w:val="auto"/>
                <w:sz w:val="22"/>
                <w:szCs w:val="22"/>
              </w:rPr>
            </w:pPr>
            <w:r>
              <w:rPr>
                <w:rFonts w:ascii="Calibri" w:hAnsi="Calibri" w:cs="Arial"/>
                <w:color w:val="auto"/>
                <w:sz w:val="22"/>
                <w:szCs w:val="22"/>
              </w:rPr>
              <w:t>第二期</w:t>
            </w:r>
            <w:r>
              <w:rPr>
                <w:rFonts w:hint="eastAsia" w:ascii="Calibri" w:hAnsi="Calibri" w:cs="Arial"/>
                <w:color w:val="auto"/>
                <w:sz w:val="22"/>
                <w:szCs w:val="22"/>
              </w:rPr>
              <w:t>：</w:t>
            </w:r>
          </w:p>
        </w:tc>
        <w:tc>
          <w:tcPr>
            <w:tcW w:w="7407" w:type="dxa"/>
            <w:shd w:val="clear" w:color="auto" w:fill="auto"/>
          </w:tcPr>
          <w:p>
            <w:pPr>
              <w:pStyle w:val="23"/>
              <w:rPr>
                <w:rFonts w:ascii="Calibri" w:hAnsi="Calibri" w:cs="Arial"/>
                <w:color w:val="auto"/>
                <w:sz w:val="22"/>
                <w:szCs w:val="22"/>
              </w:rPr>
            </w:pPr>
            <w:r>
              <w:rPr>
                <w:rFonts w:ascii="Calibri" w:hAnsi="Calibri" w:cs="Arial"/>
                <w:color w:val="auto"/>
                <w:sz w:val="22"/>
                <w:szCs w:val="22"/>
              </w:rPr>
              <w:t>20</w:t>
            </w:r>
            <w:r>
              <w:rPr>
                <w:rFonts w:hint="eastAsia" w:ascii="Calibri" w:hAnsi="Calibri" w:cs="Arial"/>
                <w:color w:val="auto"/>
                <w:sz w:val="22"/>
                <w:szCs w:val="22"/>
              </w:rPr>
              <w:t>2</w:t>
            </w:r>
            <w:r>
              <w:rPr>
                <w:rFonts w:ascii="Calibri" w:hAnsi="Calibri" w:cs="Arial"/>
                <w:color w:val="auto"/>
                <w:sz w:val="22"/>
                <w:szCs w:val="22"/>
              </w:rPr>
              <w:t>3年7月</w:t>
            </w:r>
            <w:r>
              <w:rPr>
                <w:rFonts w:hint="eastAsia" w:ascii="Calibri" w:hAnsi="Calibri" w:cs="Arial"/>
                <w:color w:val="auto"/>
                <w:sz w:val="22"/>
                <w:szCs w:val="22"/>
              </w:rPr>
              <w:t>1</w:t>
            </w:r>
            <w:r>
              <w:rPr>
                <w:rFonts w:ascii="Calibri" w:hAnsi="Calibri" w:cs="Arial"/>
                <w:color w:val="auto"/>
                <w:sz w:val="22"/>
                <w:szCs w:val="22"/>
              </w:rPr>
              <w:t>0日–7月</w:t>
            </w:r>
            <w:r>
              <w:rPr>
                <w:rFonts w:hint="eastAsia" w:ascii="Calibri" w:hAnsi="Calibri" w:cs="Arial"/>
                <w:color w:val="auto"/>
                <w:sz w:val="22"/>
                <w:szCs w:val="22"/>
              </w:rPr>
              <w:t>2</w:t>
            </w:r>
            <w:r>
              <w:rPr>
                <w:rFonts w:ascii="Calibri" w:hAnsi="Calibri" w:cs="Arial"/>
                <w:color w:val="auto"/>
                <w:sz w:val="22"/>
                <w:szCs w:val="22"/>
              </w:rPr>
              <w:t>8日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3" w:type="dxa"/>
            <w:shd w:val="clear" w:color="auto" w:fill="auto"/>
          </w:tcPr>
          <w:p>
            <w:pPr>
              <w:pStyle w:val="23"/>
              <w:rPr>
                <w:rFonts w:ascii="Calibri" w:hAnsi="Calibri" w:cs="Arial"/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第三期</w:t>
            </w:r>
            <w:r>
              <w:rPr>
                <w:rFonts w:hint="eastAsia"/>
                <w:sz w:val="22"/>
                <w:szCs w:val="22"/>
              </w:rPr>
              <w:t>：</w:t>
            </w:r>
          </w:p>
        </w:tc>
        <w:tc>
          <w:tcPr>
            <w:tcW w:w="7407" w:type="dxa"/>
            <w:shd w:val="clear" w:color="auto" w:fill="auto"/>
          </w:tcPr>
          <w:p>
            <w:pPr>
              <w:pStyle w:val="23"/>
              <w:rPr>
                <w:rFonts w:ascii="Calibri" w:hAnsi="Calibri" w:cs="Arial"/>
                <w:color w:val="auto"/>
                <w:sz w:val="22"/>
                <w:szCs w:val="22"/>
              </w:rPr>
            </w:pPr>
            <w:r>
              <w:rPr>
                <w:rFonts w:ascii="Calibri" w:hAnsi="Calibri" w:cs="Arial"/>
                <w:color w:val="auto"/>
                <w:sz w:val="22"/>
                <w:szCs w:val="22"/>
              </w:rPr>
              <w:t>20</w:t>
            </w:r>
            <w:r>
              <w:rPr>
                <w:rFonts w:hint="eastAsia" w:ascii="Calibri" w:hAnsi="Calibri" w:cs="Arial"/>
                <w:color w:val="auto"/>
                <w:sz w:val="22"/>
                <w:szCs w:val="22"/>
              </w:rPr>
              <w:t>2</w:t>
            </w:r>
            <w:r>
              <w:rPr>
                <w:rFonts w:ascii="Calibri" w:hAnsi="Calibri" w:cs="Arial"/>
                <w:color w:val="auto"/>
                <w:sz w:val="22"/>
                <w:szCs w:val="22"/>
              </w:rPr>
              <w:t>3年7月</w:t>
            </w:r>
            <w:r>
              <w:rPr>
                <w:rFonts w:hint="eastAsia" w:ascii="Calibri" w:hAnsi="Calibri" w:cs="Arial"/>
                <w:color w:val="auto"/>
                <w:sz w:val="22"/>
                <w:szCs w:val="22"/>
              </w:rPr>
              <w:t>3</w:t>
            </w:r>
            <w:r>
              <w:rPr>
                <w:rFonts w:ascii="Calibri" w:hAnsi="Calibri" w:cs="Arial"/>
                <w:color w:val="auto"/>
                <w:sz w:val="22"/>
                <w:szCs w:val="22"/>
              </w:rPr>
              <w:t>1日–</w:t>
            </w:r>
            <w:r>
              <w:rPr>
                <w:rFonts w:hint="eastAsia" w:ascii="Calibri" w:hAnsi="Calibri" w:cs="Arial"/>
                <w:color w:val="auto"/>
                <w:sz w:val="22"/>
                <w:szCs w:val="22"/>
              </w:rPr>
              <w:t>8</w:t>
            </w:r>
            <w:r>
              <w:rPr>
                <w:rFonts w:ascii="Calibri" w:hAnsi="Calibri" w:cs="Arial"/>
                <w:color w:val="auto"/>
                <w:sz w:val="22"/>
                <w:szCs w:val="22"/>
              </w:rPr>
              <w:t>月18日</w:t>
            </w:r>
          </w:p>
        </w:tc>
      </w:tr>
    </w:tbl>
    <w:p/>
    <w:p/>
    <w:p>
      <w:pPr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/>
          <w:u w:val="single"/>
        </w:rPr>
        <w:t>Accounting (会计学)</w:t>
      </w:r>
    </w:p>
    <w:p>
      <w:pPr>
        <w:rPr>
          <w:rFonts w:asciiTheme="minorHAnsi" w:hAnsiTheme="minorHAnsi" w:cstheme="minorHAnsi"/>
          <w:b/>
          <w:u w:val="single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1"/>
        <w:gridCol w:w="2841"/>
        <w:gridCol w:w="2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第一期</w:t>
            </w:r>
          </w:p>
        </w:tc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第二期</w:t>
            </w:r>
          </w:p>
        </w:tc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第三期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AC110：会计</w:t>
            </w:r>
            <w:r>
              <w:rPr>
                <w:rFonts w:hint="eastAsia" w:asciiTheme="minorHAnsi" w:hAnsiTheme="minorHAnsi" w:cstheme="minorHAnsi"/>
              </w:rPr>
              <w:t>学</w:t>
            </w:r>
            <w:r>
              <w:rPr>
                <w:rFonts w:asciiTheme="minorHAnsi" w:hAnsiTheme="minorHAnsi" w:cstheme="minorHAnsi"/>
              </w:rPr>
              <w:t>原理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</w:rPr>
              <w:t>A</w:t>
            </w:r>
            <w:r>
              <w:rPr>
                <w:rFonts w:asciiTheme="minorHAnsi" w:hAnsiTheme="minorHAnsi" w:cstheme="minorHAnsi"/>
              </w:rPr>
              <w:t>C200</w:t>
            </w:r>
            <w:r>
              <w:rPr>
                <w:rFonts w:hint="eastAsia" w:asciiTheme="minorHAnsi" w:hAnsiTheme="minorHAnsi" w:cstheme="minorHAnsi"/>
              </w:rPr>
              <w:t>：</w:t>
            </w:r>
            <w:r>
              <w:rPr>
                <w:rFonts w:ascii="Arial" w:hAnsi="Arial" w:cs="Arial"/>
                <w:color w:val="333333"/>
                <w:szCs w:val="21"/>
                <w:shd w:val="clear" w:color="auto" w:fill="F9F9F9"/>
              </w:rPr>
              <w:t>可持续发展</w:t>
            </w:r>
            <w:r>
              <w:rPr>
                <w:rFonts w:hint="eastAsia" w:ascii="Arial" w:hAnsi="Arial" w:cs="Arial"/>
                <w:color w:val="333333"/>
                <w:szCs w:val="21"/>
                <w:shd w:val="clear" w:color="auto" w:fill="F9F9F9"/>
              </w:rPr>
              <w:t>报告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AC210：</w:t>
            </w:r>
            <w:r>
              <w:rPr>
                <w:rFonts w:hint="eastAsia" w:asciiTheme="minorHAnsi" w:hAnsiTheme="minorHAnsi" w:cstheme="minorHAnsi"/>
              </w:rPr>
              <w:t>投资银行与资产管理的</w:t>
            </w:r>
            <w:r>
              <w:rPr>
                <w:rFonts w:asciiTheme="minorHAnsi" w:hAnsiTheme="minorHAnsi" w:cstheme="minorHAnsi"/>
              </w:rPr>
              <w:t>财务报表</w:t>
            </w:r>
            <w:r>
              <w:rPr>
                <w:rFonts w:hint="eastAsia" w:asciiTheme="minorHAnsi" w:hAnsiTheme="minorHAnsi" w:cstheme="minorHAnsi"/>
              </w:rPr>
              <w:t>分析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</w:p>
          <w:p>
            <w:pPr>
              <w:spacing w:line="200" w:lineRule="exact"/>
              <w:rPr>
                <w:rFonts w:asciiTheme="minorHAnsi" w:hAnsiTheme="minorHAnsi" w:cstheme="minorHAnsi"/>
                <w:b/>
                <w:u w:val="single"/>
              </w:rPr>
            </w:pPr>
          </w:p>
        </w:tc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AC101：管理会计与财务控制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AC215：</w:t>
            </w:r>
            <w:r>
              <w:rPr>
                <w:rFonts w:hint="eastAsia" w:asciiTheme="minorHAnsi" w:hAnsiTheme="minorHAnsi" w:cstheme="minorHAnsi"/>
              </w:rPr>
              <w:t>商业</w:t>
            </w:r>
            <w:r>
              <w:rPr>
                <w:rFonts w:asciiTheme="minorHAnsi" w:hAnsiTheme="minorHAnsi" w:cstheme="minorHAnsi"/>
              </w:rPr>
              <w:t>分析与</w:t>
            </w:r>
            <w:r>
              <w:rPr>
                <w:rFonts w:hint="eastAsia" w:asciiTheme="minorHAnsi" w:hAnsiTheme="minorHAnsi" w:cstheme="minorHAnsi"/>
              </w:rPr>
              <w:t>估值</w:t>
            </w:r>
          </w:p>
        </w:tc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AC110：会计</w:t>
            </w:r>
            <w:r>
              <w:rPr>
                <w:rFonts w:hint="eastAsia" w:asciiTheme="minorHAnsi" w:hAnsiTheme="minorHAnsi" w:cstheme="minorHAnsi"/>
              </w:rPr>
              <w:t>学</w:t>
            </w:r>
            <w:r>
              <w:rPr>
                <w:rFonts w:asciiTheme="minorHAnsi" w:hAnsiTheme="minorHAnsi" w:cstheme="minorHAnsi"/>
              </w:rPr>
              <w:t>原理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</w:tbl>
    <w:p>
      <w:pPr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  <w:b/>
          <w:sz w:val="24"/>
          <w:u w:val="single"/>
        </w:rPr>
      </w:pPr>
      <w:r>
        <w:rPr>
          <w:rFonts w:asciiTheme="minorHAnsi" w:hAnsiTheme="minorHAnsi" w:cstheme="minorHAnsi"/>
          <w:b/>
          <w:sz w:val="24"/>
          <w:u w:val="single"/>
        </w:rPr>
        <w:t>Business and Management (商科与管理)</w:t>
      </w:r>
    </w:p>
    <w:p>
      <w:pPr>
        <w:rPr>
          <w:rFonts w:asciiTheme="minorHAnsi" w:hAnsiTheme="minorHAnsi" w:cstheme="minorHAnsi"/>
          <w:b/>
          <w:sz w:val="24"/>
          <w:u w:val="single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第一期</w:t>
            </w:r>
          </w:p>
        </w:tc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第二期</w:t>
            </w:r>
          </w:p>
        </w:tc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第三期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MG101：营销</w:t>
            </w:r>
            <w:r>
              <w:rPr>
                <w:rFonts w:hint="eastAsia" w:asciiTheme="minorHAnsi" w:hAnsiTheme="minorHAnsi" w:cstheme="minorHAnsi"/>
              </w:rPr>
              <w:t>学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MG106：战略管理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MG130：组织</w:t>
            </w:r>
            <w:r>
              <w:rPr>
                <w:rFonts w:hint="eastAsia" w:asciiTheme="minorHAnsi" w:hAnsiTheme="minorHAnsi" w:cstheme="minorHAnsi"/>
              </w:rPr>
              <w:t>管理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MG133：</w:t>
            </w:r>
            <w:r>
              <w:rPr>
                <w:rFonts w:hint="eastAsia" w:asciiTheme="minorHAnsi" w:hAnsiTheme="minorHAnsi" w:cstheme="minorHAnsi"/>
              </w:rPr>
              <w:t>组织的权力、地位与冲突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MG203：</w:t>
            </w:r>
            <w:r>
              <w:rPr>
                <w:rFonts w:hint="eastAsia" w:asciiTheme="minorHAnsi" w:hAnsiTheme="minorHAnsi" w:cstheme="minorHAnsi"/>
              </w:rPr>
              <w:t>产业政策</w:t>
            </w:r>
            <w:r>
              <w:rPr>
                <w:rFonts w:asciiTheme="minorHAnsi" w:hAnsiTheme="minorHAnsi" w:cstheme="minorHAnsi"/>
              </w:rPr>
              <w:t>：</w:t>
            </w:r>
            <w:r>
              <w:rPr>
                <w:rFonts w:hint="eastAsia" w:asciiTheme="minorHAnsi" w:hAnsiTheme="minorHAnsi" w:cstheme="minorHAnsi"/>
              </w:rPr>
              <w:t>引领绿色与数字化转型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MG209：谈判与协商：利益、信息、战略与权力</w:t>
            </w:r>
          </w:p>
          <w:p>
            <w:pPr>
              <w:spacing w:line="200" w:lineRule="exact"/>
              <w:rPr>
                <w:rFonts w:asciiTheme="minorHAnsi" w:hAnsiTheme="minorHAnsi" w:cstheme="minorHAnsi"/>
                <w:b/>
                <w:u w:val="single"/>
              </w:rPr>
            </w:pPr>
          </w:p>
        </w:tc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MG103：消费者行为：营销和管理的行为基础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</w:rPr>
              <w:t>M</w:t>
            </w:r>
            <w:r>
              <w:rPr>
                <w:rFonts w:asciiTheme="minorHAnsi" w:hAnsiTheme="minorHAnsi" w:cstheme="minorHAnsi"/>
              </w:rPr>
              <w:t>G107</w:t>
            </w:r>
            <w:r>
              <w:rPr>
                <w:rFonts w:hint="eastAsia" w:asciiTheme="minorHAnsi" w:hAnsiTheme="minorHAnsi" w:cstheme="minorHAnsi"/>
              </w:rPr>
              <w:t>：大数据时代的管理分析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MG110：决策的科学与艺术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MG204：组织领导力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MG206：国际和新兴市场的商业战略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MG250：</w:t>
            </w:r>
            <w:r>
              <w:rPr>
                <w:rFonts w:hint="eastAsia" w:asciiTheme="minorHAnsi" w:hAnsiTheme="minorHAnsi" w:cstheme="minorHAnsi"/>
              </w:rPr>
              <w:t>数字化创新</w:t>
            </w:r>
            <w:r>
              <w:rPr>
                <w:rFonts w:asciiTheme="minorHAnsi" w:hAnsiTheme="minorHAnsi" w:cstheme="minorHAnsi"/>
              </w:rPr>
              <w:t>管理与经济学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MG300：谈判训练营：谈判艺术</w:t>
            </w:r>
            <w:r>
              <w:rPr>
                <w:rFonts w:hint="eastAsia" w:asciiTheme="minorHAnsi" w:hAnsiTheme="minorHAnsi" w:cstheme="minorHAnsi"/>
              </w:rPr>
              <w:t>中</w:t>
            </w:r>
            <w:r>
              <w:rPr>
                <w:rFonts w:asciiTheme="minorHAnsi" w:hAnsiTheme="minorHAnsi" w:cstheme="minorHAnsi"/>
              </w:rPr>
              <w:t>的</w:t>
            </w:r>
            <w:r>
              <w:rPr>
                <w:rFonts w:hint="eastAsia" w:asciiTheme="minorHAnsi" w:hAnsiTheme="minorHAnsi" w:cstheme="minorHAnsi"/>
              </w:rPr>
              <w:t>自我</w:t>
            </w:r>
            <w:r>
              <w:rPr>
                <w:rFonts w:asciiTheme="minorHAnsi" w:hAnsiTheme="minorHAnsi" w:cstheme="minorHAnsi"/>
              </w:rPr>
              <w:t>掌</w:t>
            </w:r>
            <w:r>
              <w:rPr>
                <w:rFonts w:hint="eastAsia" w:asciiTheme="minorHAnsi" w:hAnsiTheme="minorHAnsi" w:cstheme="minorHAnsi"/>
              </w:rPr>
              <w:t>控</w:t>
            </w:r>
          </w:p>
        </w:tc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MG101：营销</w:t>
            </w:r>
            <w:r>
              <w:rPr>
                <w:rFonts w:hint="eastAsia" w:asciiTheme="minorHAnsi" w:hAnsiTheme="minorHAnsi" w:cstheme="minorHAnsi"/>
              </w:rPr>
              <w:t>学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</w:rPr>
              <w:t>M</w:t>
            </w:r>
            <w:r>
              <w:rPr>
                <w:rFonts w:asciiTheme="minorHAnsi" w:hAnsiTheme="minorHAnsi" w:cstheme="minorHAnsi"/>
              </w:rPr>
              <w:t>G</w:t>
            </w:r>
            <w:r>
              <w:rPr>
                <w:rFonts w:hint="eastAsia" w:asciiTheme="minorHAnsi" w:hAnsiTheme="minorHAnsi" w:cstheme="minorHAnsi"/>
              </w:rPr>
              <w:t>104：创新管理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MG106：战略管理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</w:rPr>
              <w:t>M</w:t>
            </w:r>
            <w:r>
              <w:rPr>
                <w:rFonts w:asciiTheme="minorHAnsi" w:hAnsiTheme="minorHAnsi" w:cstheme="minorHAnsi"/>
              </w:rPr>
              <w:t>G200</w:t>
            </w:r>
            <w:r>
              <w:rPr>
                <w:rFonts w:hint="eastAsia" w:asciiTheme="minorHAnsi" w:hAnsiTheme="minorHAnsi" w:cstheme="minorHAnsi"/>
              </w:rPr>
              <w:t>：管理组织变革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MG220：</w:t>
            </w:r>
            <w:r>
              <w:rPr>
                <w:rFonts w:hint="eastAsia" w:asciiTheme="minorHAnsi" w:hAnsiTheme="minorHAnsi" w:cstheme="minorHAnsi"/>
              </w:rPr>
              <w:t>企业</w:t>
            </w:r>
            <w:r>
              <w:rPr>
                <w:rFonts w:asciiTheme="minorHAnsi" w:hAnsiTheme="minorHAnsi" w:cstheme="minorHAnsi"/>
              </w:rPr>
              <w:t>和组织战略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</w:tbl>
    <w:p>
      <w:pPr>
        <w:rPr>
          <w:rFonts w:asciiTheme="minorHAnsi" w:hAnsiTheme="minorHAnsi" w:cstheme="minorHAnsi"/>
          <w:sz w:val="24"/>
        </w:rPr>
      </w:pPr>
    </w:p>
    <w:p>
      <w:pPr>
        <w:rPr>
          <w:rFonts w:asciiTheme="minorHAnsi" w:hAnsiTheme="minorHAnsi" w:cstheme="minorHAnsi"/>
          <w:b/>
          <w:sz w:val="24"/>
          <w:u w:val="single"/>
        </w:rPr>
      </w:pPr>
      <w:r>
        <w:rPr>
          <w:rFonts w:asciiTheme="minorHAnsi" w:hAnsiTheme="minorHAnsi" w:cstheme="minorHAnsi"/>
          <w:b/>
          <w:sz w:val="24"/>
          <w:u w:val="single"/>
        </w:rPr>
        <w:t>Economics (经济学)</w:t>
      </w:r>
    </w:p>
    <w:p>
      <w:pPr>
        <w:spacing w:line="200" w:lineRule="exact"/>
        <w:rPr>
          <w:rFonts w:asciiTheme="minorHAnsi" w:hAnsiTheme="minorHAnsi" w:cstheme="minorHAnsi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第一期</w:t>
            </w:r>
          </w:p>
        </w:tc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第二期</w:t>
            </w:r>
          </w:p>
        </w:tc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第三期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EC101：</w:t>
            </w:r>
            <w:r>
              <w:rPr>
                <w:rFonts w:hint="eastAsia" w:asciiTheme="minorHAnsi" w:hAnsiTheme="minorHAnsi" w:cstheme="minorHAnsi"/>
              </w:rPr>
              <w:t>微</w:t>
            </w:r>
            <w:r>
              <w:rPr>
                <w:rFonts w:asciiTheme="minorHAnsi" w:hAnsiTheme="minorHAnsi" w:cstheme="minorHAnsi"/>
              </w:rPr>
              <w:t>观经济学导</w:t>
            </w:r>
            <w:r>
              <w:rPr>
                <w:rFonts w:hint="eastAsia" w:asciiTheme="minorHAnsi" w:hAnsiTheme="minorHAnsi" w:cstheme="minorHAnsi"/>
              </w:rPr>
              <w:t>入门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EC201：中级微观经济学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EC203：房地产经济学与金融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EC204：金融市场与全球经济：泡沫、崩溃和通胀历史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EC235：欧洲一体化经济学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EC351：国际经济学</w:t>
            </w:r>
          </w:p>
          <w:p>
            <w:pPr>
              <w:spacing w:line="200" w:lineRule="exact"/>
              <w:rPr>
                <w:rFonts w:asciiTheme="minorHAnsi" w:hAnsiTheme="minorHAnsi" w:cstheme="minorHAnsi"/>
                <w:b/>
                <w:u w:val="single"/>
              </w:rPr>
            </w:pPr>
          </w:p>
        </w:tc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EC102：宏观经济学</w:t>
            </w:r>
            <w:r>
              <w:rPr>
                <w:rFonts w:hint="eastAsia" w:asciiTheme="minorHAnsi" w:hAnsiTheme="minorHAnsi" w:cstheme="minorHAnsi"/>
              </w:rPr>
              <w:t>入门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</w:rPr>
              <w:t>E</w:t>
            </w:r>
            <w:r>
              <w:rPr>
                <w:rFonts w:asciiTheme="minorHAnsi" w:hAnsiTheme="minorHAnsi" w:cstheme="minorHAnsi"/>
              </w:rPr>
              <w:t>C103</w:t>
            </w:r>
            <w:r>
              <w:rPr>
                <w:rFonts w:hint="eastAsia" w:asciiTheme="minorHAnsi" w:hAnsiTheme="minorHAnsi" w:cstheme="minorHAnsi"/>
              </w:rPr>
              <w:t>：不平等现象：经济学、历史与社会学视角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EC200：行为经济学</w:t>
            </w:r>
            <w:r>
              <w:rPr>
                <w:rFonts w:hint="eastAsia" w:asciiTheme="minorHAnsi" w:hAnsiTheme="minorHAnsi" w:cstheme="minorHAnsi"/>
              </w:rPr>
              <w:t>导论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EC202：中级宏观经济学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EC240：环境经济学与可持续发展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EC260：公共政策的政治经济学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EC270：公共财政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EC307：发展经济学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EC320：应用计量经济学和大数据</w:t>
            </w:r>
          </w:p>
        </w:tc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EC104：福利国家（与贫困国家）：全球经济</w:t>
            </w:r>
            <w:r>
              <w:rPr>
                <w:rFonts w:hint="eastAsia" w:asciiTheme="minorHAnsi" w:hAnsiTheme="minorHAnsi" w:cstheme="minorHAnsi"/>
              </w:rPr>
              <w:t>发展的历史与现状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EC212：计量经济</w:t>
            </w:r>
            <w:r>
              <w:rPr>
                <w:rFonts w:hint="eastAsia" w:asciiTheme="minorHAnsi" w:hAnsiTheme="minorHAnsi" w:cstheme="minorHAnsi"/>
              </w:rPr>
              <w:t>学</w:t>
            </w:r>
            <w:r>
              <w:rPr>
                <w:rFonts w:asciiTheme="minorHAnsi" w:hAnsiTheme="minorHAnsi" w:cstheme="minorHAnsi"/>
              </w:rPr>
              <w:t>入门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EC312：高级计量经济学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</w:tbl>
    <w:p>
      <w:pPr>
        <w:spacing w:line="200" w:lineRule="exact"/>
        <w:rPr>
          <w:rFonts w:asciiTheme="minorHAnsi" w:hAnsiTheme="minorHAnsi" w:cstheme="minorHAnsi"/>
          <w:b/>
          <w:u w:val="single"/>
        </w:rPr>
      </w:pPr>
    </w:p>
    <w:p>
      <w:pPr>
        <w:spacing w:line="200" w:lineRule="exact"/>
        <w:rPr>
          <w:rFonts w:asciiTheme="minorHAnsi" w:hAnsiTheme="minorHAnsi" w:cstheme="minorHAnsi"/>
          <w:b/>
          <w:u w:val="single"/>
        </w:rPr>
      </w:pPr>
    </w:p>
    <w:p>
      <w:pPr>
        <w:rPr>
          <w:rFonts w:asciiTheme="minorHAnsi" w:hAnsiTheme="minorHAnsi" w:cstheme="minorHAnsi"/>
          <w:b/>
          <w:sz w:val="24"/>
          <w:u w:val="single"/>
        </w:rPr>
      </w:pPr>
      <w:r>
        <w:rPr>
          <w:rFonts w:asciiTheme="minorHAnsi" w:hAnsiTheme="minorHAnsi" w:cstheme="minorHAnsi"/>
          <w:b/>
          <w:sz w:val="24"/>
          <w:u w:val="single"/>
        </w:rPr>
        <w:t>English Language (英语)</w:t>
      </w:r>
    </w:p>
    <w:p>
      <w:pPr>
        <w:rPr>
          <w:rFonts w:asciiTheme="minorHAnsi" w:hAnsiTheme="minorHAnsi" w:cstheme="minorHAnsi"/>
          <w:b/>
          <w:sz w:val="24"/>
          <w:u w:val="single"/>
        </w:rPr>
      </w:pPr>
      <w:r>
        <w:rPr>
          <w:rFonts w:asciiTheme="minorHAnsi" w:hAnsiTheme="minorHAnsi" w:cstheme="minorHAnsi"/>
        </w:rPr>
        <w:t>LN104：商务英语（仅在第三期开设）</w:t>
      </w:r>
    </w:p>
    <w:p>
      <w:pPr>
        <w:rPr>
          <w:rFonts w:asciiTheme="minorHAnsi" w:hAnsiTheme="minorHAnsi" w:cstheme="minorHAnsi"/>
          <w:b/>
          <w:sz w:val="24"/>
          <w:u w:val="single"/>
        </w:rPr>
      </w:pPr>
    </w:p>
    <w:p>
      <w:pPr>
        <w:rPr>
          <w:rFonts w:asciiTheme="minorHAnsi" w:hAnsiTheme="minorHAnsi" w:cstheme="minorHAnsi"/>
          <w:b/>
          <w:sz w:val="24"/>
          <w:u w:val="single"/>
        </w:rPr>
      </w:pPr>
    </w:p>
    <w:p>
      <w:pPr>
        <w:rPr>
          <w:rFonts w:asciiTheme="minorHAnsi" w:hAnsiTheme="minorHAnsi" w:cstheme="minorHAnsi"/>
          <w:b/>
          <w:sz w:val="24"/>
          <w:u w:val="single"/>
        </w:rPr>
      </w:pPr>
      <w:r>
        <w:rPr>
          <w:rFonts w:asciiTheme="minorHAnsi" w:hAnsiTheme="minorHAnsi" w:cstheme="minorHAnsi"/>
          <w:b/>
          <w:sz w:val="24"/>
          <w:u w:val="single"/>
        </w:rPr>
        <w:t>Finance (金融</w:t>
      </w:r>
      <w:r>
        <w:rPr>
          <w:rFonts w:hint="eastAsia" w:asciiTheme="minorHAnsi" w:hAnsiTheme="minorHAnsi" w:cstheme="minorHAnsi"/>
          <w:b/>
          <w:sz w:val="24"/>
          <w:u w:val="single"/>
        </w:rPr>
        <w:t>学</w:t>
      </w:r>
      <w:r>
        <w:rPr>
          <w:rFonts w:asciiTheme="minorHAnsi" w:hAnsiTheme="minorHAnsi" w:cstheme="minorHAnsi"/>
          <w:b/>
          <w:sz w:val="24"/>
          <w:u w:val="single"/>
        </w:rPr>
        <w:t>)</w:t>
      </w:r>
    </w:p>
    <w:p>
      <w:pPr>
        <w:spacing w:line="200" w:lineRule="exact"/>
        <w:rPr>
          <w:rFonts w:asciiTheme="minorHAnsi" w:hAnsiTheme="minorHAnsi" w:cstheme="minorHAnsi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第一期</w:t>
            </w:r>
          </w:p>
        </w:tc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第二期</w:t>
            </w:r>
          </w:p>
        </w:tc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第三期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</w:rPr>
              <w:t>F</w:t>
            </w:r>
            <w:r>
              <w:rPr>
                <w:rFonts w:asciiTheme="minorHAnsi" w:hAnsiTheme="minorHAnsi" w:cstheme="minorHAnsi"/>
              </w:rPr>
              <w:t>M200</w:t>
            </w:r>
            <w:r>
              <w:rPr>
                <w:rFonts w:hint="eastAsia" w:asciiTheme="minorHAnsi" w:hAnsiTheme="minorHAnsi" w:cstheme="minorHAnsi"/>
              </w:rPr>
              <w:t>：企业金融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FM230：</w:t>
            </w:r>
            <w:r>
              <w:rPr>
                <w:rFonts w:hint="eastAsia" w:asciiTheme="minorHAnsi" w:hAnsiTheme="minorHAnsi" w:cstheme="minorHAnsi"/>
              </w:rPr>
              <w:t>另类</w:t>
            </w:r>
            <w:r>
              <w:rPr>
                <w:rFonts w:asciiTheme="minorHAnsi" w:hAnsiTheme="minorHAnsi" w:cstheme="minorHAnsi"/>
              </w:rPr>
              <w:t>投资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FM250：金融</w:t>
            </w:r>
            <w:r>
              <w:rPr>
                <w:rFonts w:hint="eastAsia" w:asciiTheme="minorHAnsi" w:hAnsiTheme="minorHAnsi" w:cstheme="minorHAnsi"/>
              </w:rPr>
              <w:t>学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Theme="minorHAnsi" w:hAnsiTheme="minorHAnsi" w:cstheme="minorHAnsi"/>
              </w:rPr>
              <w:t>FM360：期权、期货和其他金融衍生品</w:t>
            </w:r>
          </w:p>
        </w:tc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FM202：金融风险分析与管理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FM225：固定收益证券、债券市场和宏观经济</w:t>
            </w:r>
          </w:p>
        </w:tc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FM230：</w:t>
            </w:r>
            <w:r>
              <w:rPr>
                <w:rFonts w:hint="eastAsia" w:asciiTheme="minorHAnsi" w:hAnsiTheme="minorHAnsi" w:cstheme="minorHAnsi"/>
              </w:rPr>
              <w:t>另类</w:t>
            </w:r>
            <w:r>
              <w:rPr>
                <w:rFonts w:asciiTheme="minorHAnsi" w:hAnsiTheme="minorHAnsi" w:cstheme="minorHAnsi"/>
              </w:rPr>
              <w:t>投资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FM250：金融</w:t>
            </w:r>
            <w:r>
              <w:rPr>
                <w:rFonts w:hint="eastAsia" w:asciiTheme="minorHAnsi" w:hAnsiTheme="minorHAnsi" w:cstheme="minorHAnsi"/>
              </w:rPr>
              <w:t>学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FM255：金融市场</w:t>
            </w:r>
            <w:r>
              <w:rPr>
                <w:rFonts w:hint="eastAsia" w:asciiTheme="minorHAnsi" w:hAnsiTheme="minorHAnsi" w:cstheme="minorHAnsi"/>
              </w:rPr>
              <w:t>与投资组合管理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Theme="minorHAnsi" w:hAnsiTheme="minorHAnsi" w:cstheme="minorHAnsi"/>
              </w:rPr>
              <w:t>FM350：高级公司</w:t>
            </w:r>
            <w:r>
              <w:rPr>
                <w:rFonts w:hint="eastAsia" w:asciiTheme="minorHAnsi" w:hAnsiTheme="minorHAnsi" w:cstheme="minorHAnsi"/>
              </w:rPr>
              <w:t>金融</w:t>
            </w:r>
          </w:p>
        </w:tc>
      </w:tr>
    </w:tbl>
    <w:p>
      <w:pPr>
        <w:rPr>
          <w:rFonts w:asciiTheme="minorHAnsi" w:hAnsiTheme="minorHAnsi" w:cstheme="minorHAnsi"/>
          <w:sz w:val="24"/>
        </w:rPr>
      </w:pPr>
    </w:p>
    <w:p>
      <w:pPr>
        <w:rPr>
          <w:rFonts w:asciiTheme="minorHAnsi" w:hAnsiTheme="minorHAnsi" w:cstheme="minorHAnsi"/>
          <w:sz w:val="24"/>
        </w:rPr>
      </w:pPr>
    </w:p>
    <w:p>
      <w:pPr>
        <w:rPr>
          <w:rFonts w:asciiTheme="minorHAnsi" w:hAnsiTheme="minorHAnsi" w:cstheme="minorHAnsi"/>
          <w:b/>
          <w:sz w:val="24"/>
          <w:u w:val="single"/>
        </w:rPr>
      </w:pPr>
      <w:r>
        <w:rPr>
          <w:rFonts w:asciiTheme="minorHAnsi" w:hAnsiTheme="minorHAnsi" w:cstheme="minorHAnsi"/>
          <w:b/>
          <w:sz w:val="24"/>
          <w:u w:val="single"/>
        </w:rPr>
        <w:t>International Relations (国际关系)</w:t>
      </w:r>
    </w:p>
    <w:p>
      <w:pPr>
        <w:spacing w:line="200" w:lineRule="exact"/>
        <w:rPr>
          <w:rFonts w:asciiTheme="minorHAnsi" w:hAnsiTheme="minorHAnsi" w:cstheme="minorHAnsi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第一期</w:t>
            </w:r>
          </w:p>
        </w:tc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第二期</w:t>
            </w:r>
          </w:p>
        </w:tc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第三期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IR110：心理学基础 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IR115：文化与全球化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IR130：</w:t>
            </w:r>
            <w:r>
              <w:rPr>
                <w:rFonts w:hint="eastAsia" w:asciiTheme="minorHAnsi" w:hAnsiTheme="minorHAnsi" w:cstheme="minorHAnsi"/>
              </w:rPr>
              <w:t>战争、权力与道义</w:t>
            </w:r>
            <w:r>
              <w:rPr>
                <w:rFonts w:asciiTheme="minorHAnsi" w:hAnsiTheme="minorHAnsi" w:cstheme="minorHAnsi"/>
              </w:rPr>
              <w:t>：政治理论和国际政治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IR160：中东</w:t>
            </w:r>
            <w:r>
              <w:rPr>
                <w:rFonts w:hint="eastAsia" w:asciiTheme="minorHAnsi" w:hAnsiTheme="minorHAnsi" w:cstheme="minorHAnsi"/>
              </w:rPr>
              <w:t>问题：权力与意识形态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IR209：国际政治经济</w:t>
            </w:r>
            <w:r>
              <w:rPr>
                <w:rFonts w:hint="eastAsia" w:asciiTheme="minorHAnsi" w:hAnsiTheme="minorHAnsi" w:cstheme="minorHAnsi"/>
              </w:rPr>
              <w:t>学：21世纪的国家与市场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IR211：美国</w:t>
            </w:r>
            <w:r>
              <w:rPr>
                <w:rFonts w:hint="eastAsia" w:asciiTheme="minorHAnsi" w:hAnsiTheme="minorHAnsi" w:cstheme="minorHAnsi"/>
              </w:rPr>
              <w:t>作为全球大国</w:t>
            </w:r>
            <w:r>
              <w:rPr>
                <w:rFonts w:asciiTheme="minorHAnsi" w:hAnsiTheme="minorHAnsi" w:cstheme="minorHAnsi"/>
              </w:rPr>
              <w:t>：从罗斯福到</w:t>
            </w:r>
            <w:r>
              <w:rPr>
                <w:rFonts w:hint="eastAsia" w:asciiTheme="minorHAnsi" w:hAnsiTheme="minorHAnsi" w:cstheme="minorHAnsi"/>
              </w:rPr>
              <w:t>拜登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IR245：国际新闻与社会——媒体在现代世界中的作用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IR100：伟大的思想家和</w:t>
            </w:r>
            <w:r>
              <w:rPr>
                <w:rFonts w:hint="eastAsia" w:asciiTheme="minorHAnsi" w:hAnsiTheme="minorHAnsi" w:cstheme="minorHAnsi"/>
              </w:rPr>
              <w:t>领导者</w:t>
            </w:r>
            <w:r>
              <w:rPr>
                <w:rFonts w:asciiTheme="minorHAnsi" w:hAnsiTheme="minorHAnsi" w:cstheme="minorHAnsi"/>
              </w:rPr>
              <w:t>：塑造全球秩序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IR102：资本主义、民主与</w:t>
            </w:r>
            <w:r>
              <w:rPr>
                <w:rFonts w:hint="eastAsia" w:asciiTheme="minorHAnsi" w:hAnsiTheme="minorHAnsi" w:cstheme="minorHAnsi"/>
              </w:rPr>
              <w:t>不</w:t>
            </w:r>
            <w:r>
              <w:rPr>
                <w:rFonts w:asciiTheme="minorHAnsi" w:hAnsiTheme="minorHAnsi" w:cstheme="minorHAnsi"/>
              </w:rPr>
              <w:t>平等：发达国家的政治经济</w:t>
            </w:r>
            <w:r>
              <w:rPr>
                <w:rFonts w:hint="eastAsia" w:asciiTheme="minorHAnsi" w:hAnsiTheme="minorHAnsi" w:cstheme="minorHAnsi"/>
              </w:rPr>
              <w:t>学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IR105：</w:t>
            </w:r>
            <w:r>
              <w:rPr>
                <w:rFonts w:hint="eastAsia" w:asciiTheme="minorHAnsi" w:hAnsiTheme="minorHAnsi" w:cstheme="minorHAnsi"/>
              </w:rPr>
              <w:t>理</w:t>
            </w:r>
            <w:r>
              <w:rPr>
                <w:rFonts w:asciiTheme="minorHAnsi" w:hAnsiTheme="minorHAnsi" w:cstheme="minorHAnsi"/>
              </w:rPr>
              <w:t>解外交政策：战争、利益和</w:t>
            </w:r>
            <w:r>
              <w:rPr>
                <w:rFonts w:hint="eastAsia" w:asciiTheme="minorHAnsi" w:hAnsiTheme="minorHAnsi" w:cstheme="minorHAnsi"/>
              </w:rPr>
              <w:t>正义</w:t>
            </w:r>
            <w:r>
              <w:rPr>
                <w:rFonts w:asciiTheme="minorHAnsi" w:hAnsiTheme="minorHAnsi" w:cstheme="minorHAnsi"/>
              </w:rPr>
              <w:t>的外交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IR140：全球传播、公民和文化政治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IR201：权力转移：西方的衰落、</w:t>
            </w:r>
            <w:r>
              <w:rPr>
                <w:rFonts w:hint="eastAsia" w:asciiTheme="minorHAnsi" w:hAnsiTheme="minorHAnsi" w:cstheme="minorHAnsi"/>
              </w:rPr>
              <w:t>以及自由国际秩序的危机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</w:rPr>
              <w:t>I</w:t>
            </w:r>
            <w:r>
              <w:rPr>
                <w:rFonts w:asciiTheme="minorHAnsi" w:hAnsiTheme="minorHAnsi" w:cstheme="minorHAnsi"/>
              </w:rPr>
              <w:t>R</w:t>
            </w:r>
            <w:r>
              <w:rPr>
                <w:rFonts w:hint="eastAsia" w:asciiTheme="minorHAnsi" w:hAnsiTheme="minorHAnsi" w:cstheme="minorHAnsi"/>
              </w:rPr>
              <w:t>218：全球卫生：科学、政治与发展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</w:rPr>
              <w:t>I</w:t>
            </w:r>
            <w:r>
              <w:rPr>
                <w:rFonts w:asciiTheme="minorHAnsi" w:hAnsiTheme="minorHAnsi" w:cstheme="minorHAnsi"/>
              </w:rPr>
              <w:t>R221</w:t>
            </w:r>
            <w:r>
              <w:rPr>
                <w:rFonts w:hint="eastAsia" w:asciiTheme="minorHAnsi" w:hAnsiTheme="minorHAnsi" w:cstheme="minorHAnsi"/>
              </w:rPr>
              <w:t>：今日非洲：发展的政治经济学</w:t>
            </w:r>
          </w:p>
        </w:tc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IR10</w:t>
            </w:r>
            <w:r>
              <w:rPr>
                <w:rFonts w:hint="eastAsia" w:asciiTheme="minorHAnsi" w:hAnsiTheme="minorHAnsi" w:cstheme="minorHAnsi"/>
              </w:rPr>
              <w:t>1</w:t>
            </w:r>
            <w:r>
              <w:rPr>
                <w:rFonts w:asciiTheme="minorHAnsi" w:hAnsiTheme="minorHAnsi" w:cstheme="minorHAnsi"/>
              </w:rPr>
              <w:t>：</w:t>
            </w:r>
            <w:r>
              <w:rPr>
                <w:rFonts w:hint="eastAsia" w:asciiTheme="minorHAnsi" w:hAnsiTheme="minorHAnsi" w:cstheme="minorHAnsi"/>
              </w:rPr>
              <w:t>不同文化中的童年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IR120：贸易、发展和环境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IR204：国际移民、社会融合和公共政策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IR207：国际政治经济</w:t>
            </w:r>
            <w:r>
              <w:rPr>
                <w:rFonts w:hint="eastAsia" w:asciiTheme="minorHAnsi" w:hAnsiTheme="minorHAnsi" w:cstheme="minorHAnsi"/>
              </w:rPr>
              <w:t>学的</w:t>
            </w:r>
            <w:r>
              <w:rPr>
                <w:rFonts w:asciiTheme="minorHAnsi" w:hAnsiTheme="minorHAnsi" w:cstheme="minorHAnsi"/>
              </w:rPr>
              <w:t>发展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IR214：公共政策分析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</w:rPr>
              <w:t>I</w:t>
            </w:r>
            <w:r>
              <w:rPr>
                <w:rFonts w:asciiTheme="minorHAnsi" w:hAnsiTheme="minorHAnsi" w:cstheme="minorHAnsi"/>
              </w:rPr>
              <w:t>R220</w:t>
            </w:r>
            <w:r>
              <w:rPr>
                <w:rFonts w:hint="eastAsia" w:asciiTheme="minorHAnsi" w:hAnsiTheme="minorHAnsi" w:cstheme="minorHAnsi"/>
              </w:rPr>
              <w:t>：数字化平台：权力、政治与反抗</w:t>
            </w:r>
          </w:p>
        </w:tc>
      </w:tr>
    </w:tbl>
    <w:p>
      <w:pPr>
        <w:rPr>
          <w:rFonts w:asciiTheme="minorHAnsi" w:hAnsiTheme="minorHAnsi" w:cstheme="minorHAnsi"/>
          <w:kern w:val="0"/>
          <w:szCs w:val="20"/>
        </w:rPr>
      </w:pPr>
    </w:p>
    <w:p>
      <w:pPr>
        <w:rPr>
          <w:rFonts w:asciiTheme="minorHAnsi" w:hAnsiTheme="minorHAnsi" w:cstheme="minorHAnsi"/>
          <w:kern w:val="0"/>
          <w:szCs w:val="20"/>
        </w:rPr>
      </w:pPr>
    </w:p>
    <w:p>
      <w:pPr>
        <w:rPr>
          <w:rFonts w:asciiTheme="minorHAnsi" w:hAnsiTheme="minorHAnsi" w:cstheme="minorHAnsi"/>
          <w:b/>
          <w:sz w:val="24"/>
          <w:u w:val="single"/>
        </w:rPr>
      </w:pPr>
      <w:r>
        <w:rPr>
          <w:rFonts w:asciiTheme="minorHAnsi" w:hAnsiTheme="minorHAnsi" w:cstheme="minorHAnsi"/>
          <w:b/>
          <w:sz w:val="24"/>
          <w:u w:val="single"/>
        </w:rPr>
        <w:t>Law (法律)</w:t>
      </w:r>
    </w:p>
    <w:p>
      <w:pPr>
        <w:spacing w:line="200" w:lineRule="exact"/>
        <w:rPr>
          <w:rFonts w:asciiTheme="minorHAnsi" w:hAnsiTheme="minorHAnsi" w:cstheme="minorHAnsi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第一期</w:t>
            </w:r>
          </w:p>
        </w:tc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第二期</w:t>
            </w:r>
          </w:p>
        </w:tc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第三期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LL102：国际人权</w:t>
            </w:r>
            <w:r>
              <w:rPr>
                <w:rFonts w:hint="eastAsia" w:asciiTheme="minorHAnsi" w:hAnsiTheme="minorHAnsi" w:cstheme="minorHAnsi"/>
              </w:rPr>
              <w:t>概</w:t>
            </w:r>
            <w:r>
              <w:rPr>
                <w:rFonts w:asciiTheme="minorHAnsi" w:hAnsiTheme="minorHAnsi" w:cstheme="minorHAnsi"/>
              </w:rPr>
              <w:t>论：理论、法律和实践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LL135：公司法与</w:t>
            </w:r>
            <w:r>
              <w:rPr>
                <w:rFonts w:hint="eastAsia" w:asciiTheme="minorHAnsi" w:hAnsiTheme="minorHAnsi" w:cstheme="minorHAnsi"/>
              </w:rPr>
              <w:t>公司</w:t>
            </w:r>
            <w:r>
              <w:rPr>
                <w:rFonts w:asciiTheme="minorHAnsi" w:hAnsiTheme="minorHAnsi" w:cstheme="minorHAnsi"/>
              </w:rPr>
              <w:t>治理概论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LL202：商法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LL206：国际金融法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LL208：言论</w:t>
            </w:r>
            <w:r>
              <w:rPr>
                <w:rFonts w:hint="eastAsia" w:asciiTheme="minorHAnsi" w:hAnsiTheme="minorHAnsi" w:cstheme="minorHAnsi"/>
              </w:rPr>
              <w:t>自由</w:t>
            </w:r>
            <w:r>
              <w:rPr>
                <w:rFonts w:asciiTheme="minorHAnsi" w:hAnsiTheme="minorHAnsi" w:cstheme="minorHAnsi"/>
              </w:rPr>
              <w:t>、媒体和法律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LL209：</w:t>
            </w:r>
            <w:r>
              <w:rPr>
                <w:rFonts w:hint="eastAsia" w:asciiTheme="minorHAnsi" w:hAnsiTheme="minorHAnsi" w:cstheme="minorHAnsi"/>
              </w:rPr>
              <w:t>法律、社会与道德：当代法庭争议</w:t>
            </w:r>
          </w:p>
        </w:tc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LL105: 国际法：当代问题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LL203: 国际商</w:t>
            </w:r>
            <w:r>
              <w:rPr>
                <w:rFonts w:hint="eastAsia" w:asciiTheme="minorHAnsi" w:hAnsiTheme="minorHAnsi" w:cstheme="minorHAnsi"/>
              </w:rPr>
              <w:t>业</w:t>
            </w:r>
            <w:r>
              <w:rPr>
                <w:rFonts w:asciiTheme="minorHAnsi" w:hAnsiTheme="minorHAnsi" w:cstheme="minorHAnsi"/>
              </w:rPr>
              <w:t>诉讼与仲裁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LL204: 网络法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</w:rPr>
              <w:t>L</w:t>
            </w:r>
            <w:r>
              <w:rPr>
                <w:rFonts w:asciiTheme="minorHAnsi" w:hAnsiTheme="minorHAnsi" w:cstheme="minorHAnsi"/>
              </w:rPr>
              <w:t>L300</w:t>
            </w:r>
            <w:r>
              <w:rPr>
                <w:rFonts w:hint="eastAsia" w:asciiTheme="minorHAnsi" w:hAnsiTheme="minorHAnsi" w:cstheme="minorHAnsi"/>
              </w:rPr>
              <w:t>：高级谈判和调解</w:t>
            </w:r>
          </w:p>
        </w:tc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</w:rPr>
              <w:t>L</w:t>
            </w:r>
            <w:r>
              <w:rPr>
                <w:rFonts w:asciiTheme="minorHAnsi" w:hAnsiTheme="minorHAnsi" w:cstheme="minorHAnsi"/>
              </w:rPr>
              <w:t>L</w:t>
            </w:r>
            <w:r>
              <w:rPr>
                <w:rFonts w:hint="eastAsia" w:asciiTheme="minorHAnsi" w:hAnsiTheme="minorHAnsi" w:cstheme="minorHAnsi"/>
              </w:rPr>
              <w:t>100：欧盟法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LL110：税收、司法和社会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LL200：竞争法与</w:t>
            </w:r>
            <w:r>
              <w:rPr>
                <w:rFonts w:hint="eastAsia" w:asciiTheme="minorHAnsi" w:hAnsiTheme="minorHAnsi" w:cstheme="minorHAnsi"/>
              </w:rPr>
              <w:t>竞争</w:t>
            </w:r>
            <w:r>
              <w:rPr>
                <w:rFonts w:asciiTheme="minorHAnsi" w:hAnsiTheme="minorHAnsi" w:cstheme="minorHAnsi"/>
              </w:rPr>
              <w:t>政策：</w:t>
            </w:r>
            <w:r>
              <w:rPr>
                <w:rFonts w:hint="eastAsia" w:asciiTheme="minorHAnsi" w:hAnsiTheme="minorHAnsi" w:cstheme="minorHAnsi"/>
              </w:rPr>
              <w:t>当代全球市场的挑战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LL301：公司</w:t>
            </w:r>
            <w:r>
              <w:rPr>
                <w:rFonts w:hint="eastAsia" w:asciiTheme="minorHAnsi" w:hAnsiTheme="minorHAnsi" w:cstheme="minorHAnsi"/>
              </w:rPr>
              <w:t>财务</w:t>
            </w:r>
            <w:r>
              <w:rPr>
                <w:rFonts w:asciiTheme="minorHAnsi" w:hAnsiTheme="minorHAnsi" w:cstheme="minorHAnsi"/>
              </w:rPr>
              <w:t>法</w:t>
            </w:r>
          </w:p>
        </w:tc>
      </w:tr>
    </w:tbl>
    <w:p>
      <w:pPr>
        <w:rPr>
          <w:rFonts w:asciiTheme="minorHAnsi" w:hAnsiTheme="minorHAnsi" w:cstheme="minorHAnsi"/>
          <w:sz w:val="24"/>
        </w:rPr>
      </w:pPr>
    </w:p>
    <w:p>
      <w:pPr>
        <w:rPr>
          <w:rFonts w:asciiTheme="minorHAnsi" w:hAnsiTheme="minorHAnsi" w:cstheme="minorHAnsi"/>
          <w:b/>
          <w:sz w:val="24"/>
          <w:u w:val="single"/>
        </w:rPr>
      </w:pPr>
      <w:r>
        <w:rPr>
          <w:rFonts w:asciiTheme="minorHAnsi" w:hAnsiTheme="minorHAnsi" w:cstheme="minorHAnsi"/>
          <w:b/>
          <w:sz w:val="24"/>
          <w:u w:val="single"/>
        </w:rPr>
        <w:t>Research Methods (</w:t>
      </w:r>
      <w:r>
        <w:rPr>
          <w:rFonts w:hint="eastAsia" w:asciiTheme="minorHAnsi" w:hAnsiTheme="minorHAnsi" w:cstheme="minorHAnsi"/>
          <w:b/>
          <w:sz w:val="24"/>
          <w:u w:val="single"/>
        </w:rPr>
        <w:t>科</w:t>
      </w:r>
      <w:r>
        <w:rPr>
          <w:rFonts w:asciiTheme="minorHAnsi" w:hAnsiTheme="minorHAnsi" w:cstheme="minorHAnsi"/>
          <w:b/>
          <w:sz w:val="24"/>
          <w:u w:val="single"/>
        </w:rPr>
        <w:t>研方法)</w:t>
      </w:r>
    </w:p>
    <w:p>
      <w:pPr>
        <w:spacing w:line="200" w:lineRule="exact"/>
        <w:rPr>
          <w:rFonts w:asciiTheme="minorHAnsi" w:hAnsiTheme="minorHAnsi" w:cstheme="minorHAnsi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第一期</w:t>
            </w:r>
          </w:p>
        </w:tc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第二期</w:t>
            </w:r>
          </w:p>
        </w:tc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第三期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ME102：</w:t>
            </w:r>
            <w:r>
              <w:rPr>
                <w:rFonts w:hint="eastAsia" w:asciiTheme="minorHAnsi" w:hAnsiTheme="minorHAnsi" w:cstheme="minorHAnsi"/>
              </w:rPr>
              <w:t>人工智能时代的数据伦理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ME116：</w:t>
            </w:r>
            <w:r>
              <w:rPr>
                <w:rFonts w:hint="eastAsia" w:asciiTheme="minorHAnsi" w:hAnsiTheme="minorHAnsi" w:cstheme="minorHAnsi"/>
              </w:rPr>
              <w:t>统计学概论：透过数据了解世界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ME200：金融数学的计算方法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ME315：机器学习实践</w:t>
            </w:r>
          </w:p>
        </w:tc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</w:rPr>
              <w:t>M</w:t>
            </w:r>
            <w:r>
              <w:rPr>
                <w:rFonts w:asciiTheme="minorHAnsi" w:hAnsiTheme="minorHAnsi" w:cstheme="minorHAnsi"/>
              </w:rPr>
              <w:t>E</w:t>
            </w:r>
            <w:r>
              <w:rPr>
                <w:rFonts w:hint="eastAsia" w:asciiTheme="minorHAnsi" w:hAnsiTheme="minorHAnsi" w:cstheme="minorHAnsi"/>
              </w:rPr>
              <w:t>117：经济学与计量经济学的概率与统计学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</w:rPr>
              <w:t>M</w:t>
            </w:r>
            <w:r>
              <w:rPr>
                <w:rFonts w:asciiTheme="minorHAnsi" w:hAnsiTheme="minorHAnsi" w:cstheme="minorHAnsi"/>
              </w:rPr>
              <w:t>E204</w:t>
            </w:r>
            <w:r>
              <w:rPr>
                <w:rFonts w:hint="eastAsia" w:asciiTheme="minorHAnsi" w:hAnsiTheme="minorHAnsi" w:cstheme="minorHAnsi"/>
              </w:rPr>
              <w:t>：社交世界的数据工程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ME306：真实分析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ME314：数据科学与机器学习</w:t>
            </w:r>
            <w:r>
              <w:rPr>
                <w:rFonts w:hint="eastAsia" w:asciiTheme="minorHAnsi" w:hAnsiTheme="minorHAnsi" w:cstheme="minorHAnsi"/>
              </w:rPr>
              <w:t>入门</w:t>
            </w:r>
          </w:p>
        </w:tc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</w:rPr>
              <w:t>M</w:t>
            </w:r>
            <w:r>
              <w:rPr>
                <w:rFonts w:asciiTheme="minorHAnsi" w:hAnsiTheme="minorHAnsi" w:cstheme="minorHAnsi"/>
              </w:rPr>
              <w:t>E</w:t>
            </w:r>
            <w:r>
              <w:rPr>
                <w:rFonts w:hint="eastAsia" w:asciiTheme="minorHAnsi" w:hAnsiTheme="minorHAnsi" w:cstheme="minorHAnsi"/>
              </w:rPr>
              <w:t>202：社交网络分析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ME305：定性研究方法</w:t>
            </w:r>
          </w:p>
        </w:tc>
      </w:tr>
    </w:tbl>
    <w:p>
      <w:pPr>
        <w:spacing w:line="200" w:lineRule="exact"/>
        <w:rPr>
          <w:rFonts w:asciiTheme="minorHAnsi" w:hAnsiTheme="minorHAnsi" w:cstheme="minorHAnsi"/>
          <w:kern w:val="0"/>
          <w:szCs w:val="20"/>
        </w:rPr>
      </w:pP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</w:p>
    <w:sectPr>
      <w:headerReference r:id="rId3" w:type="default"/>
      <w:pgSz w:w="11906" w:h="16838"/>
      <w:pgMar w:top="2025" w:right="1800" w:bottom="1440" w:left="1800" w:header="73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微软雅黑">
    <w:altName w:val="汉仪旗黑KW 55S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旗黑KW 55S">
    <w:panose1 w:val="00020600040101010101"/>
    <w:charset w:val="86"/>
    <w:family w:val="auto"/>
    <w:pitch w:val="default"/>
    <w:sig w:usb0="A00002BF" w:usb1="3ACF7CFA" w:usb2="00000016" w:usb3="00000000" w:csb0="0004009F" w:csb1="DFD70000"/>
  </w:font>
  <w:font w:name="Cambria Math">
    <w:altName w:val="Kingsoft Math"/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Kingsoft Math">
    <w:panose1 w:val="02040503050406030204"/>
    <w:charset w:val="00"/>
    <w:family w:val="auto"/>
    <w:pitch w:val="default"/>
    <w:sig w:usb0="80000087" w:usb1="00002068" w:usb2="00000000" w:usb3="00000000" w:csb0="2000019F" w:csb1="00000000"/>
  </w:font>
  <w:font w:name="@宋体">
    <w:altName w:val="汉仪书宋二KW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0" w:lineRule="atLeast"/>
      <w:ind w:right="-336" w:rightChars="-160"/>
      <w:rPr>
        <w:rFonts w:ascii="微软雅黑" w:hAnsi="微软雅黑" w:eastAsia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BFA92D"/>
    <w:multiLevelType w:val="multilevel"/>
    <w:tmpl w:val="D5BFA92D"/>
    <w:lvl w:ilvl="0" w:tentative="0">
      <w:start w:val="1"/>
      <w:numFmt w:val="decimal"/>
      <w:lvlText w:val="%1）"/>
      <w:lvlJc w:val="left"/>
      <w:pPr>
        <w:ind w:left="570" w:hanging="360"/>
      </w:pPr>
    </w:lvl>
    <w:lvl w:ilvl="1" w:tentative="0">
      <w:start w:val="3"/>
      <w:numFmt w:val="bullet"/>
      <w:lvlText w:val="-"/>
      <w:lvlJc w:val="left"/>
      <w:pPr>
        <w:ind w:left="1050" w:hanging="420"/>
      </w:pPr>
      <w:rPr>
        <w:rFonts w:hint="default" w:ascii="Calibri" w:hAnsi="Calibri" w:eastAsia="宋体" w:cs="Calibri"/>
      </w:rPr>
    </w:lvl>
    <w:lvl w:ilvl="2" w:tentative="0">
      <w:start w:val="1"/>
      <w:numFmt w:val="lowerRoman"/>
      <w:lvlText w:val="%3."/>
      <w:lvlJc w:val="right"/>
      <w:pPr>
        <w:ind w:left="1470" w:hanging="420"/>
      </w:pPr>
    </w:lvl>
    <w:lvl w:ilvl="3" w:tentative="0">
      <w:start w:val="1"/>
      <w:numFmt w:val="decimal"/>
      <w:lvlText w:val="%4."/>
      <w:lvlJc w:val="left"/>
      <w:pPr>
        <w:ind w:left="1890" w:hanging="420"/>
      </w:pPr>
    </w:lvl>
    <w:lvl w:ilvl="4" w:tentative="0">
      <w:start w:val="1"/>
      <w:numFmt w:val="lowerLetter"/>
      <w:lvlText w:val="%5)"/>
      <w:lvlJc w:val="left"/>
      <w:pPr>
        <w:ind w:left="2310" w:hanging="420"/>
      </w:pPr>
    </w:lvl>
    <w:lvl w:ilvl="5" w:tentative="0">
      <w:start w:val="1"/>
      <w:numFmt w:val="lowerRoman"/>
      <w:lvlText w:val="%6."/>
      <w:lvlJc w:val="right"/>
      <w:pPr>
        <w:ind w:left="2730" w:hanging="420"/>
      </w:pPr>
    </w:lvl>
    <w:lvl w:ilvl="6" w:tentative="0">
      <w:start w:val="1"/>
      <w:numFmt w:val="decimal"/>
      <w:lvlText w:val="%7."/>
      <w:lvlJc w:val="left"/>
      <w:pPr>
        <w:ind w:left="3150" w:hanging="420"/>
      </w:pPr>
    </w:lvl>
    <w:lvl w:ilvl="7" w:tentative="0">
      <w:start w:val="1"/>
      <w:numFmt w:val="lowerLetter"/>
      <w:lvlText w:val="%8)"/>
      <w:lvlJc w:val="left"/>
      <w:pPr>
        <w:ind w:left="3570" w:hanging="420"/>
      </w:pPr>
    </w:lvl>
    <w:lvl w:ilvl="8" w:tentative="0">
      <w:start w:val="1"/>
      <w:numFmt w:val="lowerRoman"/>
      <w:lvlText w:val="%9."/>
      <w:lvlJc w:val="right"/>
      <w:pPr>
        <w:ind w:left="3990" w:hanging="420"/>
      </w:pPr>
    </w:lvl>
  </w:abstractNum>
  <w:abstractNum w:abstractNumId="1">
    <w:nsid w:val="1D4F1874"/>
    <w:multiLevelType w:val="multilevel"/>
    <w:tmpl w:val="1D4F1874"/>
    <w:lvl w:ilvl="0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2">
    <w:nsid w:val="49241C2D"/>
    <w:multiLevelType w:val="multilevel"/>
    <w:tmpl w:val="49241C2D"/>
    <w:lvl w:ilvl="0" w:tentative="0">
      <w:start w:val="1"/>
      <w:numFmt w:val="japaneseCounting"/>
      <w:lvlText w:val="%1、"/>
      <w:lvlJc w:val="left"/>
      <w:pPr>
        <w:ind w:left="440" w:hanging="4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1B36ACD"/>
    <w:multiLevelType w:val="multilevel"/>
    <w:tmpl w:val="61B36ACD"/>
    <w:lvl w:ilvl="0" w:tentative="0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entative="0">
      <w:start w:val="3"/>
      <w:numFmt w:val="bullet"/>
      <w:lvlText w:val="-"/>
      <w:lvlJc w:val="left"/>
      <w:pPr>
        <w:ind w:left="1050" w:hanging="420"/>
      </w:pPr>
      <w:rPr>
        <w:rFonts w:hint="default" w:ascii="Calibri" w:hAnsi="Calibri" w:cs="Calibri" w:eastAsiaTheme="majorEastAsia"/>
      </w:rPr>
    </w:lvl>
    <w:lvl w:ilvl="2" w:tentative="0">
      <w:start w:val="1"/>
      <w:numFmt w:val="lowerRoman"/>
      <w:lvlText w:val="%3."/>
      <w:lvlJc w:val="right"/>
      <w:pPr>
        <w:ind w:left="1470" w:hanging="420"/>
      </w:pPr>
    </w:lvl>
    <w:lvl w:ilvl="3" w:tentative="0">
      <w:start w:val="1"/>
      <w:numFmt w:val="decimal"/>
      <w:lvlText w:val="%4."/>
      <w:lvlJc w:val="left"/>
      <w:pPr>
        <w:ind w:left="1890" w:hanging="420"/>
      </w:pPr>
    </w:lvl>
    <w:lvl w:ilvl="4" w:tentative="0">
      <w:start w:val="1"/>
      <w:numFmt w:val="lowerLetter"/>
      <w:lvlText w:val="%5)"/>
      <w:lvlJc w:val="left"/>
      <w:pPr>
        <w:ind w:left="2310" w:hanging="420"/>
      </w:pPr>
    </w:lvl>
    <w:lvl w:ilvl="5" w:tentative="0">
      <w:start w:val="1"/>
      <w:numFmt w:val="lowerRoman"/>
      <w:lvlText w:val="%6."/>
      <w:lvlJc w:val="right"/>
      <w:pPr>
        <w:ind w:left="2730" w:hanging="420"/>
      </w:pPr>
    </w:lvl>
    <w:lvl w:ilvl="6" w:tentative="0">
      <w:start w:val="1"/>
      <w:numFmt w:val="decimal"/>
      <w:lvlText w:val="%7."/>
      <w:lvlJc w:val="left"/>
      <w:pPr>
        <w:ind w:left="3150" w:hanging="420"/>
      </w:pPr>
    </w:lvl>
    <w:lvl w:ilvl="7" w:tentative="0">
      <w:start w:val="1"/>
      <w:numFmt w:val="lowerLetter"/>
      <w:lvlText w:val="%8)"/>
      <w:lvlJc w:val="left"/>
      <w:pPr>
        <w:ind w:left="3570" w:hanging="420"/>
      </w:pPr>
    </w:lvl>
    <w:lvl w:ilvl="8" w:tentative="0">
      <w:start w:val="1"/>
      <w:numFmt w:val="lowerRoman"/>
      <w:lvlText w:val="%9."/>
      <w:lvlJc w:val="right"/>
      <w:pPr>
        <w:ind w:left="3990" w:hanging="420"/>
      </w:pPr>
    </w:lvl>
  </w:abstractNum>
  <w:abstractNum w:abstractNumId="4">
    <w:nsid w:val="6D50662A"/>
    <w:multiLevelType w:val="multilevel"/>
    <w:tmpl w:val="6D50662A"/>
    <w:lvl w:ilvl="0" w:tentative="0">
      <w:start w:val="1"/>
      <w:numFmt w:val="decimal"/>
      <w:lvlText w:val="%1)"/>
      <w:lvlJc w:val="left"/>
      <w:pPr>
        <w:ind w:left="630" w:hanging="420"/>
      </w:pPr>
    </w:lvl>
    <w:lvl w:ilvl="1" w:tentative="0">
      <w:start w:val="1"/>
      <w:numFmt w:val="lowerLetter"/>
      <w:lvlText w:val="%2)"/>
      <w:lvlJc w:val="left"/>
      <w:pPr>
        <w:ind w:left="1050" w:hanging="420"/>
      </w:pPr>
    </w:lvl>
    <w:lvl w:ilvl="2" w:tentative="0">
      <w:start w:val="1"/>
      <w:numFmt w:val="lowerRoman"/>
      <w:lvlText w:val="%3."/>
      <w:lvlJc w:val="right"/>
      <w:pPr>
        <w:ind w:left="1470" w:hanging="420"/>
      </w:pPr>
    </w:lvl>
    <w:lvl w:ilvl="3" w:tentative="0">
      <w:start w:val="1"/>
      <w:numFmt w:val="decimal"/>
      <w:lvlText w:val="%4."/>
      <w:lvlJc w:val="left"/>
      <w:pPr>
        <w:ind w:left="1890" w:hanging="420"/>
      </w:pPr>
    </w:lvl>
    <w:lvl w:ilvl="4" w:tentative="0">
      <w:start w:val="1"/>
      <w:numFmt w:val="lowerLetter"/>
      <w:lvlText w:val="%5)"/>
      <w:lvlJc w:val="left"/>
      <w:pPr>
        <w:ind w:left="2310" w:hanging="420"/>
      </w:pPr>
    </w:lvl>
    <w:lvl w:ilvl="5" w:tentative="0">
      <w:start w:val="1"/>
      <w:numFmt w:val="lowerRoman"/>
      <w:lvlText w:val="%6."/>
      <w:lvlJc w:val="right"/>
      <w:pPr>
        <w:ind w:left="2730" w:hanging="420"/>
      </w:pPr>
    </w:lvl>
    <w:lvl w:ilvl="6" w:tentative="0">
      <w:start w:val="1"/>
      <w:numFmt w:val="decimal"/>
      <w:lvlText w:val="%7."/>
      <w:lvlJc w:val="left"/>
      <w:pPr>
        <w:ind w:left="3150" w:hanging="420"/>
      </w:pPr>
    </w:lvl>
    <w:lvl w:ilvl="7" w:tentative="0">
      <w:start w:val="1"/>
      <w:numFmt w:val="lowerLetter"/>
      <w:lvlText w:val="%8)"/>
      <w:lvlJc w:val="left"/>
      <w:pPr>
        <w:ind w:left="3570" w:hanging="420"/>
      </w:pPr>
    </w:lvl>
    <w:lvl w:ilvl="8" w:tentative="0">
      <w:start w:val="1"/>
      <w:numFmt w:val="lowerRoman"/>
      <w:lvlText w:val="%9."/>
      <w:lvlJc w:val="right"/>
      <w:pPr>
        <w:ind w:left="3990" w:hanging="420"/>
      </w:pPr>
    </w:lvl>
  </w:abstractNum>
  <w:abstractNum w:abstractNumId="5">
    <w:nsid w:val="77F013D8"/>
    <w:multiLevelType w:val="multilevel"/>
    <w:tmpl w:val="77F013D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8F"/>
    <w:rsid w:val="000035D7"/>
    <w:rsid w:val="00003F3F"/>
    <w:rsid w:val="00005020"/>
    <w:rsid w:val="00006712"/>
    <w:rsid w:val="000077A9"/>
    <w:rsid w:val="00010F31"/>
    <w:rsid w:val="000169DD"/>
    <w:rsid w:val="0001734D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562C"/>
    <w:rsid w:val="000362BD"/>
    <w:rsid w:val="0003777C"/>
    <w:rsid w:val="00040016"/>
    <w:rsid w:val="000402B0"/>
    <w:rsid w:val="00041148"/>
    <w:rsid w:val="00041BDA"/>
    <w:rsid w:val="00044B87"/>
    <w:rsid w:val="00046229"/>
    <w:rsid w:val="000519A2"/>
    <w:rsid w:val="00051A3D"/>
    <w:rsid w:val="0005389A"/>
    <w:rsid w:val="00060047"/>
    <w:rsid w:val="0006181E"/>
    <w:rsid w:val="00065242"/>
    <w:rsid w:val="00066BB4"/>
    <w:rsid w:val="00066CD0"/>
    <w:rsid w:val="00072B90"/>
    <w:rsid w:val="0008167D"/>
    <w:rsid w:val="000820F9"/>
    <w:rsid w:val="000840CC"/>
    <w:rsid w:val="000869EA"/>
    <w:rsid w:val="00091C7E"/>
    <w:rsid w:val="0009206E"/>
    <w:rsid w:val="000953D3"/>
    <w:rsid w:val="000954F4"/>
    <w:rsid w:val="000A0A86"/>
    <w:rsid w:val="000A2A22"/>
    <w:rsid w:val="000A4030"/>
    <w:rsid w:val="000A5251"/>
    <w:rsid w:val="000B1A29"/>
    <w:rsid w:val="000B346F"/>
    <w:rsid w:val="000B3A73"/>
    <w:rsid w:val="000B621C"/>
    <w:rsid w:val="000C2F7C"/>
    <w:rsid w:val="000C3F5B"/>
    <w:rsid w:val="000C4E56"/>
    <w:rsid w:val="000C5C18"/>
    <w:rsid w:val="000C7F9A"/>
    <w:rsid w:val="000D4BC5"/>
    <w:rsid w:val="000D5021"/>
    <w:rsid w:val="000E1209"/>
    <w:rsid w:val="000E71FC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0BC0"/>
    <w:rsid w:val="0012340B"/>
    <w:rsid w:val="001241E8"/>
    <w:rsid w:val="0012488E"/>
    <w:rsid w:val="00124B0D"/>
    <w:rsid w:val="00125024"/>
    <w:rsid w:val="001262F3"/>
    <w:rsid w:val="00127FE8"/>
    <w:rsid w:val="00131D30"/>
    <w:rsid w:val="00134011"/>
    <w:rsid w:val="00135F93"/>
    <w:rsid w:val="001370FA"/>
    <w:rsid w:val="00137744"/>
    <w:rsid w:val="00143294"/>
    <w:rsid w:val="00146AB9"/>
    <w:rsid w:val="00150193"/>
    <w:rsid w:val="001535A1"/>
    <w:rsid w:val="00155FCC"/>
    <w:rsid w:val="00160616"/>
    <w:rsid w:val="001621FC"/>
    <w:rsid w:val="001653D5"/>
    <w:rsid w:val="00167799"/>
    <w:rsid w:val="00170451"/>
    <w:rsid w:val="0017244A"/>
    <w:rsid w:val="001738F0"/>
    <w:rsid w:val="00173AC0"/>
    <w:rsid w:val="00176F21"/>
    <w:rsid w:val="0018033F"/>
    <w:rsid w:val="00180AB5"/>
    <w:rsid w:val="00182AE1"/>
    <w:rsid w:val="00182E04"/>
    <w:rsid w:val="001834A2"/>
    <w:rsid w:val="0018354F"/>
    <w:rsid w:val="00185175"/>
    <w:rsid w:val="00186190"/>
    <w:rsid w:val="00190118"/>
    <w:rsid w:val="00192C0F"/>
    <w:rsid w:val="0019459B"/>
    <w:rsid w:val="001A0C7A"/>
    <w:rsid w:val="001A281F"/>
    <w:rsid w:val="001A4366"/>
    <w:rsid w:val="001A7D56"/>
    <w:rsid w:val="001B1730"/>
    <w:rsid w:val="001B1E96"/>
    <w:rsid w:val="001C1A51"/>
    <w:rsid w:val="001C6985"/>
    <w:rsid w:val="001D01C6"/>
    <w:rsid w:val="001D3619"/>
    <w:rsid w:val="001D4042"/>
    <w:rsid w:val="001D458C"/>
    <w:rsid w:val="001D4EF4"/>
    <w:rsid w:val="001D5D4C"/>
    <w:rsid w:val="001E31D7"/>
    <w:rsid w:val="001E4E86"/>
    <w:rsid w:val="001E5D98"/>
    <w:rsid w:val="001F1FCF"/>
    <w:rsid w:val="001F5524"/>
    <w:rsid w:val="001F67D2"/>
    <w:rsid w:val="00201963"/>
    <w:rsid w:val="00202030"/>
    <w:rsid w:val="00203BFF"/>
    <w:rsid w:val="00205F7F"/>
    <w:rsid w:val="002133F2"/>
    <w:rsid w:val="0021711E"/>
    <w:rsid w:val="002202A8"/>
    <w:rsid w:val="00220AE0"/>
    <w:rsid w:val="00220E2D"/>
    <w:rsid w:val="002211FB"/>
    <w:rsid w:val="0022214B"/>
    <w:rsid w:val="002274D9"/>
    <w:rsid w:val="00231FEE"/>
    <w:rsid w:val="00233816"/>
    <w:rsid w:val="0023684E"/>
    <w:rsid w:val="00240E4E"/>
    <w:rsid w:val="002441C6"/>
    <w:rsid w:val="002449A1"/>
    <w:rsid w:val="00251642"/>
    <w:rsid w:val="00254207"/>
    <w:rsid w:val="00255140"/>
    <w:rsid w:val="00261406"/>
    <w:rsid w:val="00261C11"/>
    <w:rsid w:val="00265018"/>
    <w:rsid w:val="00266D3D"/>
    <w:rsid w:val="002679B3"/>
    <w:rsid w:val="00271BCB"/>
    <w:rsid w:val="00274A34"/>
    <w:rsid w:val="00275270"/>
    <w:rsid w:val="0028056A"/>
    <w:rsid w:val="00280A41"/>
    <w:rsid w:val="002852EE"/>
    <w:rsid w:val="00286224"/>
    <w:rsid w:val="002906DF"/>
    <w:rsid w:val="0029179F"/>
    <w:rsid w:val="00292326"/>
    <w:rsid w:val="00295361"/>
    <w:rsid w:val="002954BF"/>
    <w:rsid w:val="00296088"/>
    <w:rsid w:val="00296348"/>
    <w:rsid w:val="00297E1A"/>
    <w:rsid w:val="002A32D9"/>
    <w:rsid w:val="002A3386"/>
    <w:rsid w:val="002A402F"/>
    <w:rsid w:val="002B5E23"/>
    <w:rsid w:val="002B61DD"/>
    <w:rsid w:val="002B7076"/>
    <w:rsid w:val="002B7158"/>
    <w:rsid w:val="002C2028"/>
    <w:rsid w:val="002C229B"/>
    <w:rsid w:val="002C27D4"/>
    <w:rsid w:val="002C3134"/>
    <w:rsid w:val="002C612F"/>
    <w:rsid w:val="002C6AEB"/>
    <w:rsid w:val="002C722D"/>
    <w:rsid w:val="002D04D0"/>
    <w:rsid w:val="002D0DAC"/>
    <w:rsid w:val="002D76B2"/>
    <w:rsid w:val="002D7B20"/>
    <w:rsid w:val="002E0BA0"/>
    <w:rsid w:val="002E1476"/>
    <w:rsid w:val="002E3299"/>
    <w:rsid w:val="002E4985"/>
    <w:rsid w:val="002E64CC"/>
    <w:rsid w:val="002F1A53"/>
    <w:rsid w:val="002F3568"/>
    <w:rsid w:val="002F7AB9"/>
    <w:rsid w:val="003013CE"/>
    <w:rsid w:val="0030157A"/>
    <w:rsid w:val="00302995"/>
    <w:rsid w:val="00303D3D"/>
    <w:rsid w:val="003047BA"/>
    <w:rsid w:val="00313A58"/>
    <w:rsid w:val="0031712B"/>
    <w:rsid w:val="0032092A"/>
    <w:rsid w:val="00321528"/>
    <w:rsid w:val="00321717"/>
    <w:rsid w:val="00321D5F"/>
    <w:rsid w:val="0032313B"/>
    <w:rsid w:val="003306BC"/>
    <w:rsid w:val="00330EF0"/>
    <w:rsid w:val="00333C15"/>
    <w:rsid w:val="00334EC1"/>
    <w:rsid w:val="00342D9D"/>
    <w:rsid w:val="00342E7E"/>
    <w:rsid w:val="00347191"/>
    <w:rsid w:val="0035066E"/>
    <w:rsid w:val="003508E4"/>
    <w:rsid w:val="003518A8"/>
    <w:rsid w:val="00352A1D"/>
    <w:rsid w:val="00353816"/>
    <w:rsid w:val="00355979"/>
    <w:rsid w:val="003574A4"/>
    <w:rsid w:val="00361CCF"/>
    <w:rsid w:val="00362815"/>
    <w:rsid w:val="00364A0C"/>
    <w:rsid w:val="003738EA"/>
    <w:rsid w:val="00375491"/>
    <w:rsid w:val="00381E2C"/>
    <w:rsid w:val="003822A8"/>
    <w:rsid w:val="00382435"/>
    <w:rsid w:val="00383DCC"/>
    <w:rsid w:val="00386A4E"/>
    <w:rsid w:val="00386C51"/>
    <w:rsid w:val="00387362"/>
    <w:rsid w:val="00390C9A"/>
    <w:rsid w:val="00390FCA"/>
    <w:rsid w:val="00394758"/>
    <w:rsid w:val="00394A95"/>
    <w:rsid w:val="00396306"/>
    <w:rsid w:val="00397742"/>
    <w:rsid w:val="003A6BB9"/>
    <w:rsid w:val="003B1281"/>
    <w:rsid w:val="003B4151"/>
    <w:rsid w:val="003B669C"/>
    <w:rsid w:val="003B786E"/>
    <w:rsid w:val="003C30F6"/>
    <w:rsid w:val="003C6EF7"/>
    <w:rsid w:val="003D0F7B"/>
    <w:rsid w:val="003D0FE9"/>
    <w:rsid w:val="003D13F7"/>
    <w:rsid w:val="003D2BCE"/>
    <w:rsid w:val="003D4037"/>
    <w:rsid w:val="003D4529"/>
    <w:rsid w:val="003D4B46"/>
    <w:rsid w:val="003D5531"/>
    <w:rsid w:val="003D5F48"/>
    <w:rsid w:val="003D7B86"/>
    <w:rsid w:val="003E01B3"/>
    <w:rsid w:val="003E3199"/>
    <w:rsid w:val="003E3788"/>
    <w:rsid w:val="003E7DA0"/>
    <w:rsid w:val="003F050A"/>
    <w:rsid w:val="003F059B"/>
    <w:rsid w:val="003F16A0"/>
    <w:rsid w:val="003F50D1"/>
    <w:rsid w:val="003F5D96"/>
    <w:rsid w:val="003F5F88"/>
    <w:rsid w:val="00402B49"/>
    <w:rsid w:val="00404265"/>
    <w:rsid w:val="0041117C"/>
    <w:rsid w:val="0041273F"/>
    <w:rsid w:val="0042204E"/>
    <w:rsid w:val="00426325"/>
    <w:rsid w:val="00430B91"/>
    <w:rsid w:val="004330A9"/>
    <w:rsid w:val="00437A33"/>
    <w:rsid w:val="00440C9F"/>
    <w:rsid w:val="00443C5D"/>
    <w:rsid w:val="004469A3"/>
    <w:rsid w:val="0045270B"/>
    <w:rsid w:val="00454C45"/>
    <w:rsid w:val="00455152"/>
    <w:rsid w:val="00461EE8"/>
    <w:rsid w:val="004624BE"/>
    <w:rsid w:val="00464F1E"/>
    <w:rsid w:val="00465A92"/>
    <w:rsid w:val="004679CE"/>
    <w:rsid w:val="00467FC8"/>
    <w:rsid w:val="00470270"/>
    <w:rsid w:val="00471CBF"/>
    <w:rsid w:val="00472046"/>
    <w:rsid w:val="00480534"/>
    <w:rsid w:val="00481A67"/>
    <w:rsid w:val="00485AD1"/>
    <w:rsid w:val="00486AA5"/>
    <w:rsid w:val="004932B6"/>
    <w:rsid w:val="004946E0"/>
    <w:rsid w:val="00495E6D"/>
    <w:rsid w:val="004A1602"/>
    <w:rsid w:val="004A51A8"/>
    <w:rsid w:val="004B49EE"/>
    <w:rsid w:val="004B4D89"/>
    <w:rsid w:val="004B516E"/>
    <w:rsid w:val="004C0E26"/>
    <w:rsid w:val="004C15F5"/>
    <w:rsid w:val="004C343D"/>
    <w:rsid w:val="004C5277"/>
    <w:rsid w:val="004C6632"/>
    <w:rsid w:val="004D2423"/>
    <w:rsid w:val="004D3884"/>
    <w:rsid w:val="004D5BBA"/>
    <w:rsid w:val="004D5D38"/>
    <w:rsid w:val="004E0748"/>
    <w:rsid w:val="004E728E"/>
    <w:rsid w:val="004F0AAB"/>
    <w:rsid w:val="004F743F"/>
    <w:rsid w:val="004F7C1B"/>
    <w:rsid w:val="00500A8F"/>
    <w:rsid w:val="00500DE1"/>
    <w:rsid w:val="005028D5"/>
    <w:rsid w:val="005043E9"/>
    <w:rsid w:val="00504FF1"/>
    <w:rsid w:val="005060F9"/>
    <w:rsid w:val="0051106C"/>
    <w:rsid w:val="00512BAE"/>
    <w:rsid w:val="005143A6"/>
    <w:rsid w:val="00520C0E"/>
    <w:rsid w:val="00521924"/>
    <w:rsid w:val="00522EAE"/>
    <w:rsid w:val="00523C32"/>
    <w:rsid w:val="005250F2"/>
    <w:rsid w:val="00525703"/>
    <w:rsid w:val="005260BE"/>
    <w:rsid w:val="00527573"/>
    <w:rsid w:val="005311B9"/>
    <w:rsid w:val="005326B5"/>
    <w:rsid w:val="005339BB"/>
    <w:rsid w:val="005340C3"/>
    <w:rsid w:val="00536F45"/>
    <w:rsid w:val="00537EE6"/>
    <w:rsid w:val="005427BD"/>
    <w:rsid w:val="005447E3"/>
    <w:rsid w:val="00547E75"/>
    <w:rsid w:val="00552CC6"/>
    <w:rsid w:val="00554115"/>
    <w:rsid w:val="00554D5C"/>
    <w:rsid w:val="00555016"/>
    <w:rsid w:val="00555043"/>
    <w:rsid w:val="005559B9"/>
    <w:rsid w:val="00556212"/>
    <w:rsid w:val="005606AC"/>
    <w:rsid w:val="005628E9"/>
    <w:rsid w:val="00563622"/>
    <w:rsid w:val="005643D6"/>
    <w:rsid w:val="0057138A"/>
    <w:rsid w:val="00571797"/>
    <w:rsid w:val="00572B6E"/>
    <w:rsid w:val="005730D7"/>
    <w:rsid w:val="005762B0"/>
    <w:rsid w:val="00584716"/>
    <w:rsid w:val="005849E3"/>
    <w:rsid w:val="00584E4F"/>
    <w:rsid w:val="00584E6C"/>
    <w:rsid w:val="005868F6"/>
    <w:rsid w:val="00586D6C"/>
    <w:rsid w:val="00587D18"/>
    <w:rsid w:val="00593AC3"/>
    <w:rsid w:val="00596D1A"/>
    <w:rsid w:val="005A31F5"/>
    <w:rsid w:val="005A65C8"/>
    <w:rsid w:val="005B5140"/>
    <w:rsid w:val="005B69C2"/>
    <w:rsid w:val="005C27A1"/>
    <w:rsid w:val="005C28B5"/>
    <w:rsid w:val="005C4BF2"/>
    <w:rsid w:val="005C67D4"/>
    <w:rsid w:val="005C7CC0"/>
    <w:rsid w:val="005D0683"/>
    <w:rsid w:val="005D474E"/>
    <w:rsid w:val="005D6E6D"/>
    <w:rsid w:val="005D6F09"/>
    <w:rsid w:val="005E09FF"/>
    <w:rsid w:val="005E5A41"/>
    <w:rsid w:val="005E674A"/>
    <w:rsid w:val="005E6E17"/>
    <w:rsid w:val="005F0AD3"/>
    <w:rsid w:val="005F15D4"/>
    <w:rsid w:val="005F6112"/>
    <w:rsid w:val="006001D3"/>
    <w:rsid w:val="00606AA2"/>
    <w:rsid w:val="00606C4F"/>
    <w:rsid w:val="0060716E"/>
    <w:rsid w:val="00610563"/>
    <w:rsid w:val="00610575"/>
    <w:rsid w:val="006107E7"/>
    <w:rsid w:val="0061228A"/>
    <w:rsid w:val="006131C5"/>
    <w:rsid w:val="006139AA"/>
    <w:rsid w:val="00617A76"/>
    <w:rsid w:val="00621516"/>
    <w:rsid w:val="00621ED0"/>
    <w:rsid w:val="00622238"/>
    <w:rsid w:val="006248DF"/>
    <w:rsid w:val="00624BB2"/>
    <w:rsid w:val="00632329"/>
    <w:rsid w:val="00636A3C"/>
    <w:rsid w:val="00637AD1"/>
    <w:rsid w:val="006415DA"/>
    <w:rsid w:val="006452B3"/>
    <w:rsid w:val="00657FCD"/>
    <w:rsid w:val="0066295A"/>
    <w:rsid w:val="00663035"/>
    <w:rsid w:val="00664055"/>
    <w:rsid w:val="00666CF9"/>
    <w:rsid w:val="00667457"/>
    <w:rsid w:val="00667A61"/>
    <w:rsid w:val="00670ED6"/>
    <w:rsid w:val="006740B4"/>
    <w:rsid w:val="0067541F"/>
    <w:rsid w:val="00680FF7"/>
    <w:rsid w:val="00681291"/>
    <w:rsid w:val="00683559"/>
    <w:rsid w:val="006858D5"/>
    <w:rsid w:val="00687DBB"/>
    <w:rsid w:val="00696B1C"/>
    <w:rsid w:val="006A01E8"/>
    <w:rsid w:val="006A0D12"/>
    <w:rsid w:val="006A2B5F"/>
    <w:rsid w:val="006A2FF7"/>
    <w:rsid w:val="006A32C4"/>
    <w:rsid w:val="006A6080"/>
    <w:rsid w:val="006A72B8"/>
    <w:rsid w:val="006A7C06"/>
    <w:rsid w:val="006B28F7"/>
    <w:rsid w:val="006B3EDE"/>
    <w:rsid w:val="006B576E"/>
    <w:rsid w:val="006B7C51"/>
    <w:rsid w:val="006B7C8E"/>
    <w:rsid w:val="006C1F05"/>
    <w:rsid w:val="006C2070"/>
    <w:rsid w:val="006C4514"/>
    <w:rsid w:val="006D5B15"/>
    <w:rsid w:val="006D642C"/>
    <w:rsid w:val="006F038D"/>
    <w:rsid w:val="006F43A0"/>
    <w:rsid w:val="006F70F8"/>
    <w:rsid w:val="00700EA9"/>
    <w:rsid w:val="0070255A"/>
    <w:rsid w:val="00705986"/>
    <w:rsid w:val="00705BEF"/>
    <w:rsid w:val="00706179"/>
    <w:rsid w:val="0071139B"/>
    <w:rsid w:val="007113DD"/>
    <w:rsid w:val="0071430B"/>
    <w:rsid w:val="00720659"/>
    <w:rsid w:val="0072201D"/>
    <w:rsid w:val="00726857"/>
    <w:rsid w:val="00726D8F"/>
    <w:rsid w:val="00727B01"/>
    <w:rsid w:val="007328BD"/>
    <w:rsid w:val="00733292"/>
    <w:rsid w:val="00734D73"/>
    <w:rsid w:val="00735A0C"/>
    <w:rsid w:val="00736663"/>
    <w:rsid w:val="00740DD5"/>
    <w:rsid w:val="007423FD"/>
    <w:rsid w:val="00743412"/>
    <w:rsid w:val="00760C7A"/>
    <w:rsid w:val="007619AD"/>
    <w:rsid w:val="00762330"/>
    <w:rsid w:val="007640E0"/>
    <w:rsid w:val="007652B1"/>
    <w:rsid w:val="00767A55"/>
    <w:rsid w:val="00770616"/>
    <w:rsid w:val="00770E19"/>
    <w:rsid w:val="00772B66"/>
    <w:rsid w:val="00772E22"/>
    <w:rsid w:val="00774257"/>
    <w:rsid w:val="00775505"/>
    <w:rsid w:val="00776AE1"/>
    <w:rsid w:val="00777630"/>
    <w:rsid w:val="007807CA"/>
    <w:rsid w:val="0078377B"/>
    <w:rsid w:val="00783B2F"/>
    <w:rsid w:val="00785C31"/>
    <w:rsid w:val="00795004"/>
    <w:rsid w:val="00796C00"/>
    <w:rsid w:val="007977EE"/>
    <w:rsid w:val="007A01B4"/>
    <w:rsid w:val="007A03BE"/>
    <w:rsid w:val="007A07E5"/>
    <w:rsid w:val="007A2996"/>
    <w:rsid w:val="007A385D"/>
    <w:rsid w:val="007A3E79"/>
    <w:rsid w:val="007A7362"/>
    <w:rsid w:val="007B436B"/>
    <w:rsid w:val="007B5A17"/>
    <w:rsid w:val="007B7729"/>
    <w:rsid w:val="007B7D1E"/>
    <w:rsid w:val="007C2153"/>
    <w:rsid w:val="007C348F"/>
    <w:rsid w:val="007C5BAC"/>
    <w:rsid w:val="007C66DE"/>
    <w:rsid w:val="007D0768"/>
    <w:rsid w:val="007D224F"/>
    <w:rsid w:val="007D2FE4"/>
    <w:rsid w:val="007D62F3"/>
    <w:rsid w:val="007D67D4"/>
    <w:rsid w:val="007E0C8A"/>
    <w:rsid w:val="007E26F2"/>
    <w:rsid w:val="007E2951"/>
    <w:rsid w:val="007E32E8"/>
    <w:rsid w:val="007E3816"/>
    <w:rsid w:val="007E3ADE"/>
    <w:rsid w:val="007F04ED"/>
    <w:rsid w:val="007F16D8"/>
    <w:rsid w:val="007F342D"/>
    <w:rsid w:val="007F5700"/>
    <w:rsid w:val="00802548"/>
    <w:rsid w:val="00802877"/>
    <w:rsid w:val="00802957"/>
    <w:rsid w:val="00814AA6"/>
    <w:rsid w:val="008153A8"/>
    <w:rsid w:val="00821496"/>
    <w:rsid w:val="00821DC7"/>
    <w:rsid w:val="00822EED"/>
    <w:rsid w:val="00826507"/>
    <w:rsid w:val="008267EE"/>
    <w:rsid w:val="0083050D"/>
    <w:rsid w:val="00831C27"/>
    <w:rsid w:val="00832E9B"/>
    <w:rsid w:val="00837952"/>
    <w:rsid w:val="008432ED"/>
    <w:rsid w:val="00843F7D"/>
    <w:rsid w:val="008450F3"/>
    <w:rsid w:val="00845245"/>
    <w:rsid w:val="00851871"/>
    <w:rsid w:val="00853833"/>
    <w:rsid w:val="00860271"/>
    <w:rsid w:val="0086227D"/>
    <w:rsid w:val="00863FEE"/>
    <w:rsid w:val="008653E0"/>
    <w:rsid w:val="00866BD2"/>
    <w:rsid w:val="00870D6A"/>
    <w:rsid w:val="0087133B"/>
    <w:rsid w:val="00872523"/>
    <w:rsid w:val="008733D7"/>
    <w:rsid w:val="008775A8"/>
    <w:rsid w:val="0088020B"/>
    <w:rsid w:val="0088113C"/>
    <w:rsid w:val="00881CA9"/>
    <w:rsid w:val="0088500C"/>
    <w:rsid w:val="00887346"/>
    <w:rsid w:val="0089014A"/>
    <w:rsid w:val="008902CF"/>
    <w:rsid w:val="0089434F"/>
    <w:rsid w:val="00894757"/>
    <w:rsid w:val="008966E9"/>
    <w:rsid w:val="008B4949"/>
    <w:rsid w:val="008B4A3B"/>
    <w:rsid w:val="008B56E5"/>
    <w:rsid w:val="008B7215"/>
    <w:rsid w:val="008B79D1"/>
    <w:rsid w:val="008B7F03"/>
    <w:rsid w:val="008C1F77"/>
    <w:rsid w:val="008D3CFE"/>
    <w:rsid w:val="008D55B7"/>
    <w:rsid w:val="008D5E6C"/>
    <w:rsid w:val="008D5FF3"/>
    <w:rsid w:val="008D7F16"/>
    <w:rsid w:val="008E2F80"/>
    <w:rsid w:val="008E4534"/>
    <w:rsid w:val="008E54DB"/>
    <w:rsid w:val="008F1045"/>
    <w:rsid w:val="008F1FD1"/>
    <w:rsid w:val="008F6298"/>
    <w:rsid w:val="009018E4"/>
    <w:rsid w:val="00903AB5"/>
    <w:rsid w:val="00903BED"/>
    <w:rsid w:val="00905613"/>
    <w:rsid w:val="00905BF1"/>
    <w:rsid w:val="00907193"/>
    <w:rsid w:val="00907BE2"/>
    <w:rsid w:val="00913572"/>
    <w:rsid w:val="009171E7"/>
    <w:rsid w:val="00917A3B"/>
    <w:rsid w:val="0092087F"/>
    <w:rsid w:val="00920936"/>
    <w:rsid w:val="00922281"/>
    <w:rsid w:val="0092377F"/>
    <w:rsid w:val="00930DF7"/>
    <w:rsid w:val="00936821"/>
    <w:rsid w:val="009409B4"/>
    <w:rsid w:val="00940A3E"/>
    <w:rsid w:val="0094120B"/>
    <w:rsid w:val="0094276A"/>
    <w:rsid w:val="00942C75"/>
    <w:rsid w:val="009501C8"/>
    <w:rsid w:val="00951195"/>
    <w:rsid w:val="00952045"/>
    <w:rsid w:val="00952679"/>
    <w:rsid w:val="00952BA5"/>
    <w:rsid w:val="009531E1"/>
    <w:rsid w:val="00954D69"/>
    <w:rsid w:val="009554FB"/>
    <w:rsid w:val="00957EEC"/>
    <w:rsid w:val="00961B5B"/>
    <w:rsid w:val="00961BAD"/>
    <w:rsid w:val="00963696"/>
    <w:rsid w:val="009642E6"/>
    <w:rsid w:val="009645E2"/>
    <w:rsid w:val="00965CCC"/>
    <w:rsid w:val="0097060A"/>
    <w:rsid w:val="00972BCD"/>
    <w:rsid w:val="0097304E"/>
    <w:rsid w:val="0097647D"/>
    <w:rsid w:val="009824FC"/>
    <w:rsid w:val="00983752"/>
    <w:rsid w:val="00983EF6"/>
    <w:rsid w:val="00994EDE"/>
    <w:rsid w:val="009959F3"/>
    <w:rsid w:val="00995FFE"/>
    <w:rsid w:val="009964B0"/>
    <w:rsid w:val="009A11C1"/>
    <w:rsid w:val="009A27F7"/>
    <w:rsid w:val="009A292D"/>
    <w:rsid w:val="009A4CAF"/>
    <w:rsid w:val="009A5C60"/>
    <w:rsid w:val="009A69B5"/>
    <w:rsid w:val="009B0D73"/>
    <w:rsid w:val="009B3167"/>
    <w:rsid w:val="009B7CCB"/>
    <w:rsid w:val="009C020C"/>
    <w:rsid w:val="009C25A0"/>
    <w:rsid w:val="009C44ED"/>
    <w:rsid w:val="009C5D67"/>
    <w:rsid w:val="009C698C"/>
    <w:rsid w:val="009C7A2D"/>
    <w:rsid w:val="009C7CE4"/>
    <w:rsid w:val="009E18AF"/>
    <w:rsid w:val="009E4A3B"/>
    <w:rsid w:val="009E5D88"/>
    <w:rsid w:val="009F0653"/>
    <w:rsid w:val="009F1FC1"/>
    <w:rsid w:val="009F7FCB"/>
    <w:rsid w:val="00A00B17"/>
    <w:rsid w:val="00A07695"/>
    <w:rsid w:val="00A07DCE"/>
    <w:rsid w:val="00A1042E"/>
    <w:rsid w:val="00A10667"/>
    <w:rsid w:val="00A14608"/>
    <w:rsid w:val="00A1794D"/>
    <w:rsid w:val="00A207E1"/>
    <w:rsid w:val="00A220C6"/>
    <w:rsid w:val="00A2225A"/>
    <w:rsid w:val="00A2358C"/>
    <w:rsid w:val="00A23C33"/>
    <w:rsid w:val="00A2663A"/>
    <w:rsid w:val="00A31C85"/>
    <w:rsid w:val="00A32B62"/>
    <w:rsid w:val="00A32C2E"/>
    <w:rsid w:val="00A33A9E"/>
    <w:rsid w:val="00A344D7"/>
    <w:rsid w:val="00A50BF4"/>
    <w:rsid w:val="00A568B0"/>
    <w:rsid w:val="00A57829"/>
    <w:rsid w:val="00A60310"/>
    <w:rsid w:val="00A623DF"/>
    <w:rsid w:val="00A67B5E"/>
    <w:rsid w:val="00A72E16"/>
    <w:rsid w:val="00A74A10"/>
    <w:rsid w:val="00A76003"/>
    <w:rsid w:val="00A76D78"/>
    <w:rsid w:val="00A83140"/>
    <w:rsid w:val="00A843DA"/>
    <w:rsid w:val="00A84830"/>
    <w:rsid w:val="00A878D6"/>
    <w:rsid w:val="00A9241D"/>
    <w:rsid w:val="00A92D51"/>
    <w:rsid w:val="00AA1738"/>
    <w:rsid w:val="00AA2334"/>
    <w:rsid w:val="00AA4DC4"/>
    <w:rsid w:val="00AB05C6"/>
    <w:rsid w:val="00AB66D7"/>
    <w:rsid w:val="00AB694F"/>
    <w:rsid w:val="00AC32C6"/>
    <w:rsid w:val="00AD37E5"/>
    <w:rsid w:val="00AD3CFD"/>
    <w:rsid w:val="00AD7BA1"/>
    <w:rsid w:val="00AE32F1"/>
    <w:rsid w:val="00AE5279"/>
    <w:rsid w:val="00AF1520"/>
    <w:rsid w:val="00AF3264"/>
    <w:rsid w:val="00AF5247"/>
    <w:rsid w:val="00AF78C6"/>
    <w:rsid w:val="00AF7CB4"/>
    <w:rsid w:val="00B00961"/>
    <w:rsid w:val="00B01ADE"/>
    <w:rsid w:val="00B01F4F"/>
    <w:rsid w:val="00B043AC"/>
    <w:rsid w:val="00B107E5"/>
    <w:rsid w:val="00B11E35"/>
    <w:rsid w:val="00B12237"/>
    <w:rsid w:val="00B12F3C"/>
    <w:rsid w:val="00B22841"/>
    <w:rsid w:val="00B24FF7"/>
    <w:rsid w:val="00B2543C"/>
    <w:rsid w:val="00B26192"/>
    <w:rsid w:val="00B262CD"/>
    <w:rsid w:val="00B40A66"/>
    <w:rsid w:val="00B44FDB"/>
    <w:rsid w:val="00B50CF4"/>
    <w:rsid w:val="00B55BC5"/>
    <w:rsid w:val="00B57B39"/>
    <w:rsid w:val="00B60E9C"/>
    <w:rsid w:val="00B618B7"/>
    <w:rsid w:val="00B6632A"/>
    <w:rsid w:val="00B67C18"/>
    <w:rsid w:val="00B74F9C"/>
    <w:rsid w:val="00B76A1E"/>
    <w:rsid w:val="00B801E0"/>
    <w:rsid w:val="00B8044E"/>
    <w:rsid w:val="00B83422"/>
    <w:rsid w:val="00B841C1"/>
    <w:rsid w:val="00B86083"/>
    <w:rsid w:val="00B8765A"/>
    <w:rsid w:val="00B9240D"/>
    <w:rsid w:val="00B955B3"/>
    <w:rsid w:val="00BA15F6"/>
    <w:rsid w:val="00BA5348"/>
    <w:rsid w:val="00BB0CAA"/>
    <w:rsid w:val="00BB11A8"/>
    <w:rsid w:val="00BB2026"/>
    <w:rsid w:val="00BB7F1E"/>
    <w:rsid w:val="00BC2ABE"/>
    <w:rsid w:val="00BC3B43"/>
    <w:rsid w:val="00BC5535"/>
    <w:rsid w:val="00BD3A1E"/>
    <w:rsid w:val="00BE02A7"/>
    <w:rsid w:val="00BE2788"/>
    <w:rsid w:val="00BE539C"/>
    <w:rsid w:val="00BE6F4C"/>
    <w:rsid w:val="00BE78CF"/>
    <w:rsid w:val="00BE7E70"/>
    <w:rsid w:val="00BF460C"/>
    <w:rsid w:val="00BF5F9C"/>
    <w:rsid w:val="00C02F99"/>
    <w:rsid w:val="00C05D8E"/>
    <w:rsid w:val="00C06B20"/>
    <w:rsid w:val="00C06CBE"/>
    <w:rsid w:val="00C123C3"/>
    <w:rsid w:val="00C126DF"/>
    <w:rsid w:val="00C15DBB"/>
    <w:rsid w:val="00C17D89"/>
    <w:rsid w:val="00C20343"/>
    <w:rsid w:val="00C227C2"/>
    <w:rsid w:val="00C249A2"/>
    <w:rsid w:val="00C2552A"/>
    <w:rsid w:val="00C444EA"/>
    <w:rsid w:val="00C44F99"/>
    <w:rsid w:val="00C50408"/>
    <w:rsid w:val="00C50DF8"/>
    <w:rsid w:val="00C5114A"/>
    <w:rsid w:val="00C55764"/>
    <w:rsid w:val="00C55BB5"/>
    <w:rsid w:val="00C57445"/>
    <w:rsid w:val="00C61DCC"/>
    <w:rsid w:val="00C64953"/>
    <w:rsid w:val="00C65409"/>
    <w:rsid w:val="00C673D5"/>
    <w:rsid w:val="00C71FE5"/>
    <w:rsid w:val="00C72F22"/>
    <w:rsid w:val="00C745E3"/>
    <w:rsid w:val="00C7494D"/>
    <w:rsid w:val="00C75C2E"/>
    <w:rsid w:val="00C766EF"/>
    <w:rsid w:val="00C773FC"/>
    <w:rsid w:val="00C807AA"/>
    <w:rsid w:val="00C80EE6"/>
    <w:rsid w:val="00C817A7"/>
    <w:rsid w:val="00C82075"/>
    <w:rsid w:val="00C861B2"/>
    <w:rsid w:val="00C8729D"/>
    <w:rsid w:val="00CA2A8B"/>
    <w:rsid w:val="00CA65E9"/>
    <w:rsid w:val="00CB1784"/>
    <w:rsid w:val="00CB4339"/>
    <w:rsid w:val="00CB67B9"/>
    <w:rsid w:val="00CB6A55"/>
    <w:rsid w:val="00CC06D4"/>
    <w:rsid w:val="00CC1890"/>
    <w:rsid w:val="00CC4104"/>
    <w:rsid w:val="00CC4709"/>
    <w:rsid w:val="00CC480B"/>
    <w:rsid w:val="00CC72C5"/>
    <w:rsid w:val="00CC7310"/>
    <w:rsid w:val="00CD056C"/>
    <w:rsid w:val="00CD332E"/>
    <w:rsid w:val="00CD41C2"/>
    <w:rsid w:val="00CD4647"/>
    <w:rsid w:val="00CD7484"/>
    <w:rsid w:val="00CD7715"/>
    <w:rsid w:val="00CE00F3"/>
    <w:rsid w:val="00CE06FC"/>
    <w:rsid w:val="00CE4335"/>
    <w:rsid w:val="00D03331"/>
    <w:rsid w:val="00D04A33"/>
    <w:rsid w:val="00D062FA"/>
    <w:rsid w:val="00D073EA"/>
    <w:rsid w:val="00D07A87"/>
    <w:rsid w:val="00D110BB"/>
    <w:rsid w:val="00D12776"/>
    <w:rsid w:val="00D12ABA"/>
    <w:rsid w:val="00D12D35"/>
    <w:rsid w:val="00D16BE4"/>
    <w:rsid w:val="00D2092D"/>
    <w:rsid w:val="00D30EB1"/>
    <w:rsid w:val="00D31AFE"/>
    <w:rsid w:val="00D332D6"/>
    <w:rsid w:val="00D346FC"/>
    <w:rsid w:val="00D351C9"/>
    <w:rsid w:val="00D35444"/>
    <w:rsid w:val="00D35A08"/>
    <w:rsid w:val="00D3691D"/>
    <w:rsid w:val="00D371C4"/>
    <w:rsid w:val="00D42657"/>
    <w:rsid w:val="00D471D1"/>
    <w:rsid w:val="00D50239"/>
    <w:rsid w:val="00D50E81"/>
    <w:rsid w:val="00D577A0"/>
    <w:rsid w:val="00D634D8"/>
    <w:rsid w:val="00D63C2D"/>
    <w:rsid w:val="00D651FF"/>
    <w:rsid w:val="00D7008E"/>
    <w:rsid w:val="00D70197"/>
    <w:rsid w:val="00D71DEB"/>
    <w:rsid w:val="00D73882"/>
    <w:rsid w:val="00D754A6"/>
    <w:rsid w:val="00D80609"/>
    <w:rsid w:val="00D82BB6"/>
    <w:rsid w:val="00D933BC"/>
    <w:rsid w:val="00D96CBF"/>
    <w:rsid w:val="00DA100A"/>
    <w:rsid w:val="00DA25AD"/>
    <w:rsid w:val="00DA73E5"/>
    <w:rsid w:val="00DB0090"/>
    <w:rsid w:val="00DB1679"/>
    <w:rsid w:val="00DB7777"/>
    <w:rsid w:val="00DC2C72"/>
    <w:rsid w:val="00DC2F1C"/>
    <w:rsid w:val="00DC2F84"/>
    <w:rsid w:val="00DC4BA2"/>
    <w:rsid w:val="00DD038D"/>
    <w:rsid w:val="00DD4C8D"/>
    <w:rsid w:val="00DD7FB4"/>
    <w:rsid w:val="00DF11F3"/>
    <w:rsid w:val="00DF1C7E"/>
    <w:rsid w:val="00DF2CF8"/>
    <w:rsid w:val="00DF4AB0"/>
    <w:rsid w:val="00DF4B48"/>
    <w:rsid w:val="00DF66EE"/>
    <w:rsid w:val="00E00371"/>
    <w:rsid w:val="00E07A31"/>
    <w:rsid w:val="00E07C58"/>
    <w:rsid w:val="00E17346"/>
    <w:rsid w:val="00E17C19"/>
    <w:rsid w:val="00E2219B"/>
    <w:rsid w:val="00E22461"/>
    <w:rsid w:val="00E23047"/>
    <w:rsid w:val="00E23270"/>
    <w:rsid w:val="00E23833"/>
    <w:rsid w:val="00E2596F"/>
    <w:rsid w:val="00E309FD"/>
    <w:rsid w:val="00E34DD0"/>
    <w:rsid w:val="00E403D4"/>
    <w:rsid w:val="00E50150"/>
    <w:rsid w:val="00E5049F"/>
    <w:rsid w:val="00E61308"/>
    <w:rsid w:val="00E61E70"/>
    <w:rsid w:val="00E61EE5"/>
    <w:rsid w:val="00E64653"/>
    <w:rsid w:val="00E67E38"/>
    <w:rsid w:val="00E76995"/>
    <w:rsid w:val="00E80E43"/>
    <w:rsid w:val="00E8311C"/>
    <w:rsid w:val="00E83ECA"/>
    <w:rsid w:val="00E85437"/>
    <w:rsid w:val="00E87A04"/>
    <w:rsid w:val="00E922B4"/>
    <w:rsid w:val="00E94534"/>
    <w:rsid w:val="00E97970"/>
    <w:rsid w:val="00EA4003"/>
    <w:rsid w:val="00EB0151"/>
    <w:rsid w:val="00EB2B49"/>
    <w:rsid w:val="00EB7ED2"/>
    <w:rsid w:val="00EC43C8"/>
    <w:rsid w:val="00EC6520"/>
    <w:rsid w:val="00ED12D7"/>
    <w:rsid w:val="00ED1806"/>
    <w:rsid w:val="00ED296A"/>
    <w:rsid w:val="00ED3F02"/>
    <w:rsid w:val="00ED457C"/>
    <w:rsid w:val="00EE0B92"/>
    <w:rsid w:val="00EE0F0E"/>
    <w:rsid w:val="00EE19C9"/>
    <w:rsid w:val="00EE45C3"/>
    <w:rsid w:val="00EE68D2"/>
    <w:rsid w:val="00EF14B7"/>
    <w:rsid w:val="00EF44AD"/>
    <w:rsid w:val="00F014F8"/>
    <w:rsid w:val="00F05715"/>
    <w:rsid w:val="00F13937"/>
    <w:rsid w:val="00F141F1"/>
    <w:rsid w:val="00F17267"/>
    <w:rsid w:val="00F237B1"/>
    <w:rsid w:val="00F2468D"/>
    <w:rsid w:val="00F27587"/>
    <w:rsid w:val="00F307F9"/>
    <w:rsid w:val="00F3131F"/>
    <w:rsid w:val="00F31BE4"/>
    <w:rsid w:val="00F32538"/>
    <w:rsid w:val="00F34A00"/>
    <w:rsid w:val="00F34D93"/>
    <w:rsid w:val="00F413B3"/>
    <w:rsid w:val="00F46C9B"/>
    <w:rsid w:val="00F50F82"/>
    <w:rsid w:val="00F535FA"/>
    <w:rsid w:val="00F61472"/>
    <w:rsid w:val="00F618F0"/>
    <w:rsid w:val="00F62AEB"/>
    <w:rsid w:val="00F65201"/>
    <w:rsid w:val="00F66A6D"/>
    <w:rsid w:val="00F707BD"/>
    <w:rsid w:val="00F72010"/>
    <w:rsid w:val="00F76279"/>
    <w:rsid w:val="00F76428"/>
    <w:rsid w:val="00F77798"/>
    <w:rsid w:val="00F77B4D"/>
    <w:rsid w:val="00F820F7"/>
    <w:rsid w:val="00F82F19"/>
    <w:rsid w:val="00F83A44"/>
    <w:rsid w:val="00F85C22"/>
    <w:rsid w:val="00F86B12"/>
    <w:rsid w:val="00F87AC6"/>
    <w:rsid w:val="00F9126D"/>
    <w:rsid w:val="00F91B05"/>
    <w:rsid w:val="00F94E53"/>
    <w:rsid w:val="00F979AC"/>
    <w:rsid w:val="00FA5A8C"/>
    <w:rsid w:val="00FA6353"/>
    <w:rsid w:val="00FB32DE"/>
    <w:rsid w:val="00FB3951"/>
    <w:rsid w:val="00FB7A50"/>
    <w:rsid w:val="00FC0DF5"/>
    <w:rsid w:val="00FC44B5"/>
    <w:rsid w:val="00FC60F3"/>
    <w:rsid w:val="00FC6127"/>
    <w:rsid w:val="00FC7A4D"/>
    <w:rsid w:val="00FD08A0"/>
    <w:rsid w:val="00FD2E42"/>
    <w:rsid w:val="00FD4AA6"/>
    <w:rsid w:val="00FE29AF"/>
    <w:rsid w:val="00FE2B9E"/>
    <w:rsid w:val="00FE6123"/>
    <w:rsid w:val="00FE6555"/>
    <w:rsid w:val="00FF188C"/>
    <w:rsid w:val="00FF2A73"/>
    <w:rsid w:val="00FF3A60"/>
    <w:rsid w:val="00FF51E1"/>
    <w:rsid w:val="00FF5702"/>
    <w:rsid w:val="3FD6FEE5"/>
    <w:rsid w:val="E7FF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1"/>
    <w:uiPriority w:val="0"/>
    <w:pPr>
      <w:jc w:val="left"/>
    </w:pPr>
  </w:style>
  <w:style w:type="paragraph" w:styleId="4">
    <w:name w:val="Body Text Indent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5">
    <w:name w:val="Body Text Indent 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6">
    <w:name w:val="Balloon Text"/>
    <w:basedOn w:val="1"/>
    <w:semiHidden/>
    <w:uiPriority w:val="0"/>
    <w:rPr>
      <w:sz w:val="18"/>
      <w:szCs w:val="18"/>
    </w:rPr>
  </w:style>
  <w:style w:type="paragraph" w:styleId="7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3"/>
    <w:next w:val="3"/>
    <w:link w:val="22"/>
    <w:uiPriority w:val="0"/>
    <w:rPr>
      <w:b/>
      <w:bCs/>
    </w:rPr>
  </w:style>
  <w:style w:type="table" w:styleId="11">
    <w:name w:val="Table Grid"/>
    <w:basedOn w:val="10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22"/>
    <w:rPr>
      <w:b/>
      <w:bCs/>
    </w:rPr>
  </w:style>
  <w:style w:type="character" w:styleId="14">
    <w:name w:val="FollowedHyperlink"/>
    <w:basedOn w:val="12"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5">
    <w:name w:val="Hyperlink"/>
    <w:uiPriority w:val="0"/>
    <w:rPr>
      <w:color w:val="0068B7"/>
      <w:u w:val="none"/>
    </w:rPr>
  </w:style>
  <w:style w:type="character" w:styleId="16">
    <w:name w:val="annotation reference"/>
    <w:basedOn w:val="12"/>
    <w:uiPriority w:val="0"/>
    <w:rPr>
      <w:sz w:val="21"/>
      <w:szCs w:val="21"/>
    </w:rPr>
  </w:style>
  <w:style w:type="character" w:customStyle="1" w:styleId="17">
    <w:name w:val="141"/>
    <w:uiPriority w:val="0"/>
    <w:rPr>
      <w:sz w:val="21"/>
      <w:szCs w:val="21"/>
    </w:rPr>
  </w:style>
  <w:style w:type="character" w:customStyle="1" w:styleId="18">
    <w:name w:val="ztag pre"/>
    <w:basedOn w:val="12"/>
    <w:uiPriority w:val="0"/>
  </w:style>
  <w:style w:type="character" w:customStyle="1" w:styleId="19">
    <w:name w:val="已访问的超链接1"/>
    <w:uiPriority w:val="0"/>
    <w:rPr>
      <w:color w:val="800080"/>
      <w:u w:val="single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文字 字符"/>
    <w:basedOn w:val="12"/>
    <w:link w:val="3"/>
    <w:uiPriority w:val="0"/>
    <w:rPr>
      <w:kern w:val="2"/>
      <w:sz w:val="21"/>
      <w:szCs w:val="24"/>
    </w:rPr>
  </w:style>
  <w:style w:type="character" w:customStyle="1" w:styleId="22">
    <w:name w:val="批注主题 字符"/>
    <w:basedOn w:val="21"/>
    <w:link w:val="9"/>
    <w:uiPriority w:val="0"/>
    <w:rPr>
      <w:b/>
      <w:bCs/>
      <w:kern w:val="2"/>
      <w:sz w:val="21"/>
      <w:szCs w:val="24"/>
    </w:rPr>
  </w:style>
  <w:style w:type="paragraph" w:customStyle="1" w:styleId="23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4">
    <w:name w:val="Unresolved Mention"/>
    <w:basedOn w:val="12"/>
    <w:semiHidden/>
    <w:unhideWhenUsed/>
    <w:uiPriority w:val="99"/>
    <w:rPr>
      <w:color w:val="605E5C"/>
      <w:shd w:val="clear" w:color="auto" w:fill="E1DFDD"/>
    </w:rPr>
  </w:style>
  <w:style w:type="character" w:customStyle="1" w:styleId="25">
    <w:name w:val="high-light-bg"/>
    <w:basedOn w:val="12"/>
    <w:uiPriority w:val="0"/>
  </w:style>
  <w:style w:type="paragraph" w:customStyle="1" w:styleId="26">
    <w:name w:val="msolistparagraph"/>
    <w:basedOn w:val="1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7</Pages>
  <Words>649</Words>
  <Characters>3704</Characters>
  <Lines>30</Lines>
  <Paragraphs>8</Paragraphs>
  <TotalTime>1461</TotalTime>
  <ScaleCrop>false</ScaleCrop>
  <LinksUpToDate>false</LinksUpToDate>
  <CharactersWithSpaces>4345</CharactersWithSpaces>
  <Application>WPS Office WWO_base_provider_20221031101348-1857be321c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2017-10-13T17:52:00Z</dcterms:created>
  <dc:creator>全美国际教育协会</dc:creator>
  <cp:lastModifiedBy>HP</cp:lastModifiedBy>
  <cp:lastPrinted>2011-12-17T00:54:00Z</cp:lastPrinted>
  <dcterms:modified xsi:type="dcterms:W3CDTF">2023-02-16T14:45:51Z</dcterms:modified>
  <dc:title>加州大学河滨分校短期访学项目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